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A7" w:rsidRPr="00B0553E" w:rsidRDefault="00EB2E79">
      <w:pPr>
        <w:spacing w:after="120" w:line="320" w:lineRule="exact"/>
      </w:pPr>
      <w:r w:rsidRPr="00643B4B">
        <w:rPr>
          <w:noProof/>
          <w:lang w:val="fr-LU" w:eastAsia="fr-L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4875525</wp:posOffset>
            </wp:positionH>
            <wp:positionV relativeFrom="margin">
              <wp:posOffset>-184151</wp:posOffset>
            </wp:positionV>
            <wp:extent cx="1310636" cy="1029330"/>
            <wp:effectExtent l="0" t="0" r="3814" b="0"/>
            <wp:wrapSquare wrapText="bothSides"/>
            <wp:docPr id="1" name="Imagen 1" descr="access-info_logo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636" cy="10293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0553E">
        <w:rPr>
          <w:rFonts w:ascii="Trebuchet MS" w:hAnsi="Trebuchet MS"/>
          <w:color w:val="595959"/>
          <w:sz w:val="32"/>
          <w:szCs w:val="32"/>
        </w:rPr>
        <w:t xml:space="preserve">Access Info Europe </w:t>
      </w:r>
    </w:p>
    <w:p w:rsidR="009755A7" w:rsidRPr="00B0553E" w:rsidRDefault="00EB2E79">
      <w:pPr>
        <w:spacing w:after="120" w:line="320" w:lineRule="exact"/>
        <w:rPr>
          <w:rFonts w:ascii="Trebuchet MS" w:hAnsi="Trebuchet MS"/>
          <w:color w:val="595959"/>
        </w:rPr>
      </w:pPr>
      <w:r w:rsidRPr="00B0553E">
        <w:rPr>
          <w:rFonts w:ascii="Trebuchet MS" w:hAnsi="Trebuchet MS"/>
          <w:color w:val="595959"/>
        </w:rPr>
        <w:t>Cava de San Miguel 8, 4C</w:t>
      </w:r>
    </w:p>
    <w:p w:rsidR="00452552" w:rsidRPr="0044685B" w:rsidRDefault="00EB2E79" w:rsidP="00B0553E">
      <w:pPr>
        <w:spacing w:after="120" w:line="320" w:lineRule="exact"/>
        <w:rPr>
          <w:rFonts w:ascii="Trebuchet MS" w:hAnsi="Trebuchet MS"/>
          <w:color w:val="595959"/>
        </w:rPr>
      </w:pPr>
      <w:r w:rsidRPr="0044685B">
        <w:rPr>
          <w:rFonts w:ascii="Trebuchet MS" w:hAnsi="Trebuchet MS"/>
          <w:color w:val="595959"/>
        </w:rPr>
        <w:t>28005, Madrid</w:t>
      </w:r>
      <w:r w:rsidRPr="0044685B">
        <w:rPr>
          <w:rFonts w:ascii="Trebuchet MS" w:hAnsi="Trebuchet MS"/>
          <w:color w:val="595959"/>
        </w:rPr>
        <w:br/>
      </w:r>
    </w:p>
    <w:p w:rsidR="00452552" w:rsidRPr="0044685B" w:rsidRDefault="0044335A">
      <w:pPr>
        <w:jc w:val="right"/>
      </w:pPr>
      <w:r>
        <w:t>4</w:t>
      </w:r>
      <w:r w:rsidR="00F9168B" w:rsidRPr="0044685B">
        <w:t xml:space="preserve"> marzo 2016</w:t>
      </w:r>
    </w:p>
    <w:p w:rsidR="00B0553E" w:rsidRPr="0044685B" w:rsidRDefault="00B0553E" w:rsidP="0044335A">
      <w:pPr>
        <w:pStyle w:val="Ttulo1"/>
        <w:jc w:val="left"/>
      </w:pPr>
    </w:p>
    <w:p w:rsidR="00B0553E" w:rsidRPr="0044335A" w:rsidRDefault="001E1BDC" w:rsidP="0044335A">
      <w:pPr>
        <w:pStyle w:val="Ttulo1"/>
      </w:pPr>
      <w:r w:rsidRPr="001E1BDC">
        <w:t xml:space="preserve">Comentarios de </w:t>
      </w:r>
      <w:r w:rsidR="00FC3B65">
        <w:t>la Coalición Pro</w:t>
      </w:r>
      <w:r w:rsidR="000F2603">
        <w:t>Acceso</w:t>
      </w:r>
      <w:r w:rsidR="00FC3B65">
        <w:t xml:space="preserve"> </w:t>
      </w:r>
      <w:r w:rsidR="000F2603">
        <w:t xml:space="preserve">al Anteproyecto de </w:t>
      </w:r>
      <w:r w:rsidRPr="001E1BDC">
        <w:t>Ley de</w:t>
      </w:r>
      <w:r w:rsidR="000F2603">
        <w:t>l Principado de Asturias de</w:t>
      </w:r>
      <w:r w:rsidRPr="001E1BDC">
        <w:t xml:space="preserve"> Transparencia y Buen Gobierno</w:t>
      </w:r>
    </w:p>
    <w:p w:rsidR="00455F57" w:rsidRDefault="00455F57" w:rsidP="003D296C">
      <w:pPr>
        <w:jc w:val="both"/>
        <w:rPr>
          <w:szCs w:val="20"/>
        </w:rPr>
      </w:pPr>
      <w:r>
        <w:rPr>
          <w:szCs w:val="20"/>
        </w:rPr>
        <w:t>El presente documento contiene los comentarios de las Organizaciones Fundación Cultura de Paz, Amigos de la Tierra y Access InfoEurope, miembros de la Coalición Pro Acceso.</w:t>
      </w:r>
    </w:p>
    <w:p w:rsidR="000F2603" w:rsidRDefault="000F2603" w:rsidP="003D296C">
      <w:pPr>
        <w:jc w:val="both"/>
        <w:rPr>
          <w:szCs w:val="20"/>
        </w:rPr>
      </w:pPr>
      <w:r>
        <w:rPr>
          <w:szCs w:val="20"/>
        </w:rPr>
        <w:t>El Anteproyecto de Ley</w:t>
      </w:r>
      <w:r w:rsidR="00B26448">
        <w:rPr>
          <w:szCs w:val="20"/>
        </w:rPr>
        <w:t xml:space="preserve"> incluye </w:t>
      </w:r>
      <w:r>
        <w:rPr>
          <w:szCs w:val="20"/>
        </w:rPr>
        <w:t xml:space="preserve">aspectos positivos, </w:t>
      </w:r>
      <w:r w:rsidRPr="003D296C">
        <w:rPr>
          <w:szCs w:val="20"/>
        </w:rPr>
        <w:t>especialmente en lo que se refiere a</w:t>
      </w:r>
      <w:r>
        <w:rPr>
          <w:szCs w:val="20"/>
        </w:rPr>
        <w:t xml:space="preserve">l lenguaje y conceptos utilizados favorables al derecho de acceso a información, </w:t>
      </w:r>
      <w:r w:rsidRPr="003D296C">
        <w:rPr>
          <w:szCs w:val="20"/>
        </w:rPr>
        <w:t>al establecimiento de un régimen sancionador</w:t>
      </w:r>
      <w:r>
        <w:rPr>
          <w:szCs w:val="20"/>
        </w:rPr>
        <w:t xml:space="preserve"> ante el incumplimiento del derecho de acceso, o la publicación proactiva de la información qu</w:t>
      </w:r>
      <w:bookmarkStart w:id="0" w:name="_GoBack"/>
      <w:bookmarkEnd w:id="0"/>
      <w:r>
        <w:rPr>
          <w:szCs w:val="20"/>
        </w:rPr>
        <w:t xml:space="preserve">e sea más frecuentemente objeto del ejercicio del derecho de acceso. </w:t>
      </w:r>
    </w:p>
    <w:p w:rsidR="003D296C" w:rsidRPr="003D296C" w:rsidRDefault="000F2603" w:rsidP="003D296C">
      <w:pPr>
        <w:jc w:val="both"/>
        <w:rPr>
          <w:szCs w:val="20"/>
        </w:rPr>
      </w:pPr>
      <w:r>
        <w:rPr>
          <w:szCs w:val="20"/>
        </w:rPr>
        <w:t xml:space="preserve">Consideramos que el texto actual introduce </w:t>
      </w:r>
      <w:r w:rsidR="00B26448">
        <w:rPr>
          <w:szCs w:val="20"/>
        </w:rPr>
        <w:t xml:space="preserve">avances dentro del contexto </w:t>
      </w:r>
      <w:r w:rsidR="003D296C" w:rsidRPr="003D296C">
        <w:rPr>
          <w:szCs w:val="20"/>
        </w:rPr>
        <w:t xml:space="preserve">regulatorio </w:t>
      </w:r>
      <w:r w:rsidR="00B26448">
        <w:rPr>
          <w:szCs w:val="20"/>
        </w:rPr>
        <w:t xml:space="preserve">de mínimos </w:t>
      </w:r>
      <w:r w:rsidR="003D296C" w:rsidRPr="003D296C">
        <w:rPr>
          <w:szCs w:val="20"/>
        </w:rPr>
        <w:t xml:space="preserve">que ofrece la Ley 19/2013 de Transparencia, Acceso a la Información Pública </w:t>
      </w:r>
      <w:r w:rsidR="00B26448">
        <w:rPr>
          <w:szCs w:val="20"/>
        </w:rPr>
        <w:t>y Buen Gobierno a nivel estatal</w:t>
      </w:r>
      <w:r w:rsidR="00B26448">
        <w:rPr>
          <w:rStyle w:val="Refdenotaalpie"/>
          <w:szCs w:val="20"/>
        </w:rPr>
        <w:footnoteReference w:id="2"/>
      </w:r>
      <w:r w:rsidR="00B26448">
        <w:rPr>
          <w:szCs w:val="20"/>
        </w:rPr>
        <w:t>.</w:t>
      </w:r>
    </w:p>
    <w:p w:rsidR="00B26448" w:rsidRDefault="003D296C" w:rsidP="003D296C">
      <w:pPr>
        <w:jc w:val="both"/>
        <w:rPr>
          <w:szCs w:val="20"/>
        </w:rPr>
      </w:pPr>
      <w:r w:rsidRPr="003D296C">
        <w:rPr>
          <w:szCs w:val="20"/>
        </w:rPr>
        <w:t>Sin e</w:t>
      </w:r>
      <w:r w:rsidR="000F2603">
        <w:rPr>
          <w:szCs w:val="20"/>
        </w:rPr>
        <w:t xml:space="preserve">mbargo, hay algunos aspectos del Proyecto de Ley </w:t>
      </w:r>
      <w:r w:rsidRPr="003D296C">
        <w:rPr>
          <w:szCs w:val="20"/>
        </w:rPr>
        <w:t xml:space="preserve">que consideramos </w:t>
      </w:r>
      <w:r w:rsidR="00533010">
        <w:rPr>
          <w:szCs w:val="20"/>
        </w:rPr>
        <w:t xml:space="preserve">preocupantes y </w:t>
      </w:r>
      <w:r w:rsidRPr="003D296C">
        <w:rPr>
          <w:szCs w:val="20"/>
        </w:rPr>
        <w:t xml:space="preserve">que pueden ser </w:t>
      </w:r>
      <w:r w:rsidRPr="002E09CD">
        <w:rPr>
          <w:szCs w:val="20"/>
        </w:rPr>
        <w:t>mejorados</w:t>
      </w:r>
      <w:r w:rsidR="00533010" w:rsidRPr="002E09CD">
        <w:rPr>
          <w:szCs w:val="20"/>
        </w:rPr>
        <w:t xml:space="preserve"> para generar un marco regulatorio más favorable al derecho de acceso a información. Entre estos aspectos </w:t>
      </w:r>
      <w:r w:rsidR="00B26448">
        <w:rPr>
          <w:szCs w:val="20"/>
        </w:rPr>
        <w:t>destacan especialmente:</w:t>
      </w:r>
    </w:p>
    <w:p w:rsidR="00076B10" w:rsidRDefault="00076B10" w:rsidP="00B26448">
      <w:pPr>
        <w:pStyle w:val="Prrafodelista"/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>Poco grado de detalle en la información que se publica de forma proactiva.</w:t>
      </w:r>
    </w:p>
    <w:p w:rsidR="00076B10" w:rsidRDefault="00076B10" w:rsidP="00B26448">
      <w:pPr>
        <w:pStyle w:val="Prrafodelista"/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>Establecimiento de obligaciones en el ejercicio del derecho de acceso a información.</w:t>
      </w:r>
    </w:p>
    <w:p w:rsidR="00092C9B" w:rsidRDefault="00092C9B" w:rsidP="00B26448">
      <w:pPr>
        <w:pStyle w:val="Prrafodelista"/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>El silencio administrativo negativo.</w:t>
      </w:r>
    </w:p>
    <w:p w:rsidR="000F2603" w:rsidRDefault="000F2603" w:rsidP="00B26448">
      <w:pPr>
        <w:pStyle w:val="Prrafodelista"/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>Escaso enfoque en la transparencia en la toma de decisiones políticas.</w:t>
      </w:r>
    </w:p>
    <w:p w:rsidR="003D296C" w:rsidRDefault="00B26448" w:rsidP="00B26448">
      <w:pPr>
        <w:pStyle w:val="Prrafodelista"/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 xml:space="preserve">Complejo </w:t>
      </w:r>
      <w:r w:rsidR="002E09CD" w:rsidRPr="00B26448">
        <w:rPr>
          <w:szCs w:val="20"/>
        </w:rPr>
        <w:t xml:space="preserve">sistema de identificación </w:t>
      </w:r>
      <w:r w:rsidR="00533010" w:rsidRPr="00B26448">
        <w:rPr>
          <w:szCs w:val="20"/>
        </w:rPr>
        <w:t>del solicitante</w:t>
      </w:r>
      <w:r w:rsidR="00076B10">
        <w:rPr>
          <w:szCs w:val="20"/>
        </w:rPr>
        <w:t xml:space="preserve"> de información</w:t>
      </w:r>
      <w:r w:rsidR="00582779" w:rsidRPr="00B26448">
        <w:rPr>
          <w:szCs w:val="20"/>
        </w:rPr>
        <w:t>.</w:t>
      </w:r>
    </w:p>
    <w:p w:rsidR="00076B10" w:rsidRDefault="00076B10" w:rsidP="00B26448">
      <w:pPr>
        <w:pStyle w:val="Prrafodelista"/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>Las causas de inadmisión están alejadas de los estándares internacionales.</w:t>
      </w:r>
    </w:p>
    <w:p w:rsidR="00076B10" w:rsidRPr="00B26448" w:rsidRDefault="00D80BEB" w:rsidP="00B26448">
      <w:pPr>
        <w:pStyle w:val="Prrafodelista"/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 xml:space="preserve">Ausencia de un </w:t>
      </w:r>
      <w:r w:rsidR="00092586">
        <w:rPr>
          <w:szCs w:val="20"/>
        </w:rPr>
        <w:t>organismo</w:t>
      </w:r>
      <w:r w:rsidR="00076B10">
        <w:rPr>
          <w:szCs w:val="20"/>
        </w:rPr>
        <w:t xml:space="preserve"> supervisor y sancionador independiente.</w:t>
      </w:r>
    </w:p>
    <w:p w:rsidR="00533010" w:rsidRDefault="00FD3AE4" w:rsidP="003D296C">
      <w:pPr>
        <w:jc w:val="both"/>
        <w:rPr>
          <w:szCs w:val="20"/>
        </w:rPr>
      </w:pPr>
      <w:r>
        <w:rPr>
          <w:szCs w:val="20"/>
        </w:rPr>
        <w:t xml:space="preserve">Desde </w:t>
      </w:r>
      <w:r w:rsidR="000F2603">
        <w:rPr>
          <w:szCs w:val="20"/>
        </w:rPr>
        <w:t xml:space="preserve">la Coalición Pro Acceso </w:t>
      </w:r>
      <w:r w:rsidR="00533010" w:rsidRPr="00533010">
        <w:rPr>
          <w:szCs w:val="20"/>
        </w:rPr>
        <w:t xml:space="preserve">valoramos de forma muy positiva </w:t>
      </w:r>
      <w:r w:rsidR="00533010">
        <w:rPr>
          <w:szCs w:val="20"/>
        </w:rPr>
        <w:t xml:space="preserve">la consulta realizada por </w:t>
      </w:r>
      <w:r w:rsidR="000F2603">
        <w:rPr>
          <w:szCs w:val="20"/>
        </w:rPr>
        <w:t>el Principado de Asturias</w:t>
      </w:r>
      <w:r w:rsidR="00533010">
        <w:rPr>
          <w:szCs w:val="20"/>
        </w:rPr>
        <w:t>y esperamos</w:t>
      </w:r>
      <w:r w:rsidR="00533010" w:rsidRPr="00533010">
        <w:rPr>
          <w:szCs w:val="20"/>
        </w:rPr>
        <w:t xml:space="preserve"> que nuestros comentarios y sugerencias sean </w:t>
      </w:r>
      <w:r>
        <w:rPr>
          <w:szCs w:val="20"/>
        </w:rPr>
        <w:t>d</w:t>
      </w:r>
      <w:r w:rsidR="00533010" w:rsidRPr="00533010">
        <w:rPr>
          <w:szCs w:val="20"/>
        </w:rPr>
        <w:t>e utilidad y tenidos en cuenta.</w:t>
      </w:r>
    </w:p>
    <w:p w:rsidR="00F9168B" w:rsidRDefault="003D296C" w:rsidP="00F9168B">
      <w:pPr>
        <w:jc w:val="both"/>
        <w:rPr>
          <w:szCs w:val="20"/>
        </w:rPr>
      </w:pPr>
      <w:r w:rsidRPr="003D296C">
        <w:rPr>
          <w:szCs w:val="20"/>
        </w:rPr>
        <w:t>A continuación, se resumen las p</w:t>
      </w:r>
      <w:r w:rsidR="00214DEF">
        <w:rPr>
          <w:szCs w:val="20"/>
        </w:rPr>
        <w:t>rincipales sugerencias</w:t>
      </w:r>
      <w:r w:rsidRPr="003D296C">
        <w:rPr>
          <w:szCs w:val="20"/>
        </w:rPr>
        <w:t>:</w:t>
      </w:r>
    </w:p>
    <w:p w:rsidR="001C2F91" w:rsidRPr="005D1F75" w:rsidRDefault="005D1F75" w:rsidP="005D1F75">
      <w:pPr>
        <w:numPr>
          <w:ilvl w:val="0"/>
          <w:numId w:val="4"/>
        </w:numPr>
        <w:suppressAutoHyphens w:val="0"/>
        <w:autoSpaceDN/>
        <w:spacing w:line="276" w:lineRule="auto"/>
        <w:jc w:val="both"/>
        <w:textAlignment w:val="auto"/>
        <w:rPr>
          <w:szCs w:val="20"/>
        </w:rPr>
      </w:pPr>
      <w:r w:rsidRPr="005D1F75">
        <w:rPr>
          <w:rFonts w:eastAsia="Calibri" w:cs="Tahoma"/>
          <w:b/>
          <w:color w:val="365F91"/>
          <w:spacing w:val="0"/>
          <w:szCs w:val="20"/>
          <w:lang w:eastAsia="en-US"/>
        </w:rPr>
        <w:t>Plazo trimestral para la actualización de la información publicada de forma pr</w:t>
      </w:r>
      <w:r w:rsidRPr="005D1F75">
        <w:rPr>
          <w:rFonts w:eastAsia="Calibri" w:cs="Tahoma"/>
          <w:b/>
          <w:color w:val="365F91"/>
          <w:spacing w:val="0"/>
          <w:szCs w:val="20"/>
          <w:lang w:eastAsia="en-US"/>
        </w:rPr>
        <w:t>o</w:t>
      </w:r>
      <w:r w:rsidRPr="005D1F75">
        <w:rPr>
          <w:rFonts w:eastAsia="Calibri" w:cs="Tahoma"/>
          <w:b/>
          <w:color w:val="365F91"/>
          <w:spacing w:val="0"/>
          <w:szCs w:val="20"/>
          <w:lang w:eastAsia="en-US"/>
        </w:rPr>
        <w:t>activa.</w:t>
      </w:r>
      <w:r w:rsidRPr="005D1F75">
        <w:rPr>
          <w:rFonts w:eastAsia="Calibri" w:cs="Tahoma"/>
          <w:spacing w:val="0"/>
          <w:szCs w:val="20"/>
          <w:lang w:eastAsia="en-US"/>
        </w:rPr>
        <w:t xml:space="preserve"> Consideramos que el plazo trimestral es muy amplio en algunos casos para g</w:t>
      </w:r>
      <w:r w:rsidRPr="005D1F75">
        <w:rPr>
          <w:rFonts w:eastAsia="Calibri" w:cs="Tahoma"/>
          <w:spacing w:val="0"/>
          <w:szCs w:val="20"/>
          <w:lang w:eastAsia="en-US"/>
        </w:rPr>
        <w:t>a</w:t>
      </w:r>
      <w:r w:rsidRPr="005D1F75">
        <w:rPr>
          <w:rFonts w:eastAsia="Calibri" w:cs="Tahoma"/>
          <w:spacing w:val="0"/>
          <w:szCs w:val="20"/>
          <w:lang w:eastAsia="en-US"/>
        </w:rPr>
        <w:lastRenderedPageBreak/>
        <w:t>rantizar un mayor control ciudadano y transparencia en la toma de decisiones. Hay alg</w:t>
      </w:r>
      <w:r w:rsidRPr="005D1F75">
        <w:rPr>
          <w:rFonts w:eastAsia="Calibri" w:cs="Tahoma"/>
          <w:spacing w:val="0"/>
          <w:szCs w:val="20"/>
          <w:lang w:eastAsia="en-US"/>
        </w:rPr>
        <w:t>u</w:t>
      </w:r>
      <w:r w:rsidRPr="005D1F75">
        <w:rPr>
          <w:rFonts w:eastAsia="Calibri" w:cs="Tahoma"/>
          <w:spacing w:val="0"/>
          <w:szCs w:val="20"/>
          <w:lang w:eastAsia="en-US"/>
        </w:rPr>
        <w:t>nos tipos de información para las cuales los plazos de publicación y actualización debe</w:t>
      </w:r>
      <w:r w:rsidRPr="005D1F75">
        <w:rPr>
          <w:rFonts w:eastAsia="Calibri" w:cs="Tahoma"/>
          <w:spacing w:val="0"/>
          <w:szCs w:val="20"/>
          <w:lang w:eastAsia="en-US"/>
        </w:rPr>
        <w:t>r</w:t>
      </w:r>
      <w:r w:rsidRPr="005D1F75">
        <w:rPr>
          <w:rFonts w:eastAsia="Calibri" w:cs="Tahoma"/>
          <w:spacing w:val="0"/>
          <w:szCs w:val="20"/>
          <w:lang w:eastAsia="en-US"/>
        </w:rPr>
        <w:t xml:space="preserve">ían ser menores y establecidos de forma clara para garantizar </w:t>
      </w:r>
      <w:r>
        <w:rPr>
          <w:rFonts w:eastAsia="Calibri" w:cs="Tahoma"/>
          <w:spacing w:val="0"/>
          <w:szCs w:val="20"/>
          <w:lang w:eastAsia="en-US"/>
        </w:rPr>
        <w:t>una mayor participación de la sociedad civil y rendición de cuentas.</w:t>
      </w:r>
      <w:r w:rsidRPr="005D1F75">
        <w:rPr>
          <w:rFonts w:eastAsia="Calibri" w:cs="Tahoma"/>
          <w:spacing w:val="0"/>
          <w:szCs w:val="20"/>
          <w:lang w:eastAsia="en-US"/>
        </w:rPr>
        <w:t xml:space="preserve"> Por ejemplo, en agendas, en la publ</w:t>
      </w:r>
      <w:r>
        <w:rPr>
          <w:rFonts w:eastAsia="Calibri" w:cs="Tahoma"/>
          <w:spacing w:val="0"/>
          <w:szCs w:val="20"/>
          <w:lang w:eastAsia="en-US"/>
        </w:rPr>
        <w:t xml:space="preserve">icación de normativas a adoptar, </w:t>
      </w:r>
      <w:r w:rsidRPr="005D1F75">
        <w:rPr>
          <w:rFonts w:eastAsia="Calibri" w:cs="Tahoma"/>
          <w:spacing w:val="0"/>
          <w:szCs w:val="20"/>
          <w:lang w:eastAsia="en-US"/>
        </w:rPr>
        <w:t>así como en los documentos jurídicos con criterios de interpret</w:t>
      </w:r>
      <w:r w:rsidRPr="005D1F75">
        <w:rPr>
          <w:rFonts w:eastAsia="Calibri" w:cs="Tahoma"/>
          <w:spacing w:val="0"/>
          <w:szCs w:val="20"/>
          <w:lang w:eastAsia="en-US"/>
        </w:rPr>
        <w:t>a</w:t>
      </w:r>
      <w:r w:rsidRPr="005D1F75">
        <w:rPr>
          <w:rFonts w:eastAsia="Calibri" w:cs="Tahoma"/>
          <w:spacing w:val="0"/>
          <w:szCs w:val="20"/>
          <w:lang w:eastAsia="en-US"/>
        </w:rPr>
        <w:t xml:space="preserve">ción y resoluciones que afectan </w:t>
      </w:r>
      <w:r>
        <w:rPr>
          <w:rFonts w:eastAsia="Calibri" w:cs="Tahoma"/>
          <w:spacing w:val="0"/>
          <w:szCs w:val="20"/>
          <w:lang w:eastAsia="en-US"/>
        </w:rPr>
        <w:t>a los derechos de las personas.</w:t>
      </w:r>
    </w:p>
    <w:p w:rsidR="001C2F91" w:rsidRDefault="00E85F38" w:rsidP="00E85F38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 w:rsidRPr="005D1F75">
        <w:rPr>
          <w:rFonts w:eastAsia="Calibri" w:cs="Tahoma"/>
          <w:b/>
          <w:color w:val="365F91"/>
          <w:spacing w:val="0"/>
          <w:szCs w:val="20"/>
          <w:lang w:eastAsia="en-US"/>
        </w:rPr>
        <w:t>Reutilización de la información</w:t>
      </w:r>
      <w:r w:rsidR="001C2F91" w:rsidRPr="005D1F75">
        <w:rPr>
          <w:rFonts w:eastAsia="Calibri" w:cs="Tahoma"/>
          <w:b/>
          <w:color w:val="365F91"/>
          <w:spacing w:val="0"/>
          <w:szCs w:val="20"/>
          <w:lang w:eastAsia="en-US"/>
        </w:rPr>
        <w:t>.</w:t>
      </w:r>
      <w:r w:rsidRPr="00E85F38">
        <w:rPr>
          <w:szCs w:val="20"/>
        </w:rPr>
        <w:t>Es muy positivo que se recoja en</w:t>
      </w:r>
      <w:r w:rsidR="001C2F91" w:rsidRPr="00E85F38">
        <w:rPr>
          <w:szCs w:val="20"/>
        </w:rPr>
        <w:t xml:space="preserve"> el artículo </w:t>
      </w:r>
      <w:r w:rsidR="005D1F75">
        <w:rPr>
          <w:szCs w:val="20"/>
        </w:rPr>
        <w:t>3</w:t>
      </w:r>
      <w:r w:rsidR="001C2F91" w:rsidRPr="00E85F38">
        <w:rPr>
          <w:szCs w:val="20"/>
        </w:rPr>
        <w:t xml:space="preserve"> F la reutilización de la información como uno de los principios informadores. </w:t>
      </w:r>
      <w:r w:rsidR="005D1F75">
        <w:rPr>
          <w:szCs w:val="20"/>
        </w:rPr>
        <w:t xml:space="preserve">Al respecto, para dotar de mayor concreción el principio y una implementación más eficaz, se recomienda la Adhesión del Principado de Asturias </w:t>
      </w:r>
      <w:r w:rsidRPr="00E85F38">
        <w:rPr>
          <w:szCs w:val="20"/>
        </w:rPr>
        <w:t xml:space="preserve">a la iniciativa internacional de la Carta de Datos Abiertos de la que ya son miembros varios Gobiernos tanto nacionales como subnaccionales. </w:t>
      </w:r>
      <w:hyperlink r:id="rId9" w:history="1">
        <w:r w:rsidRPr="00E85F38">
          <w:rPr>
            <w:rStyle w:val="Hipervnculo"/>
            <w:szCs w:val="20"/>
          </w:rPr>
          <w:t>http://opendatacharter.net/</w:t>
        </w:r>
      </w:hyperlink>
    </w:p>
    <w:p w:rsidR="003B4AEF" w:rsidRPr="003B4AEF" w:rsidRDefault="009402AF" w:rsidP="00F9168B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 w:rsidRPr="005D1F75">
        <w:rPr>
          <w:rFonts w:eastAsia="Calibri" w:cs="Tahoma"/>
          <w:b/>
          <w:color w:val="365F91"/>
          <w:spacing w:val="0"/>
          <w:szCs w:val="20"/>
          <w:lang w:eastAsia="en-US"/>
        </w:rPr>
        <w:t>Eliminar las obligaciones de las personas en el ejercicio del derecho de acceso a información.</w:t>
      </w:r>
      <w:r w:rsidRPr="003B4AEF">
        <w:rPr>
          <w:szCs w:val="20"/>
        </w:rPr>
        <w:t xml:space="preserve">Resulta inverosímil que se establezcan obligaciones </w:t>
      </w:r>
      <w:r w:rsidR="003B4AEF" w:rsidRPr="003B4AEF">
        <w:rPr>
          <w:szCs w:val="20"/>
        </w:rPr>
        <w:t xml:space="preserve">a las personas que ejerzan su derecho de acceso a información, </w:t>
      </w:r>
      <w:r w:rsidR="003B4AEF">
        <w:rPr>
          <w:szCs w:val="20"/>
        </w:rPr>
        <w:t xml:space="preserve">además de no estar en línea con los estándares internacionales, </w:t>
      </w:r>
      <w:r w:rsidR="003B4AEF" w:rsidRPr="003B4AEF">
        <w:rPr>
          <w:szCs w:val="20"/>
        </w:rPr>
        <w:t>se está presuponiendo que se va a ejercer el derecho de acceso de forma irrespon</w:t>
      </w:r>
      <w:r w:rsidR="000566B8">
        <w:rPr>
          <w:szCs w:val="20"/>
        </w:rPr>
        <w:t>sable, si se quieren evitar la solicitudes que sean manifiestamente repetitivas o tengan carácter abusivo, esto ya se encuentra entra las causas de inadmisión.</w:t>
      </w:r>
      <w:r w:rsidRPr="003B4AEF">
        <w:rPr>
          <w:szCs w:val="20"/>
        </w:rPr>
        <w:t>T</w:t>
      </w:r>
      <w:r w:rsidR="006A146A" w:rsidRPr="003B4AEF">
        <w:rPr>
          <w:szCs w:val="20"/>
        </w:rPr>
        <w:t xml:space="preserve">oda solicitud de acceso a información conlleva </w:t>
      </w:r>
      <w:r w:rsidR="003B4AEF" w:rsidRPr="003B4AEF">
        <w:rPr>
          <w:szCs w:val="20"/>
        </w:rPr>
        <w:t xml:space="preserve">necesidad de dedicación y </w:t>
      </w:r>
      <w:r w:rsidR="006A146A" w:rsidRPr="003B4AEF">
        <w:rPr>
          <w:szCs w:val="20"/>
        </w:rPr>
        <w:t>retos en la eficacia del funcionami</w:t>
      </w:r>
      <w:r w:rsidR="003B4AEF" w:rsidRPr="003B4AEF">
        <w:rPr>
          <w:szCs w:val="20"/>
        </w:rPr>
        <w:t>ento de los servicios público, sin embargo,</w:t>
      </w:r>
      <w:r w:rsidR="006A146A" w:rsidRPr="003B4AEF">
        <w:rPr>
          <w:szCs w:val="20"/>
        </w:rPr>
        <w:t xml:space="preserve"> la responsabilidad de dicha eficacia no puede recaer en </w:t>
      </w:r>
      <w:r w:rsidR="00BA469C" w:rsidRPr="003B4AEF">
        <w:rPr>
          <w:szCs w:val="20"/>
        </w:rPr>
        <w:t>la persona</w:t>
      </w:r>
      <w:r w:rsidR="006A146A" w:rsidRPr="003B4AEF">
        <w:rPr>
          <w:szCs w:val="20"/>
        </w:rPr>
        <w:t xml:space="preserve"> que está ejerciendo un derecho. </w:t>
      </w:r>
      <w:r w:rsidR="003B4AEF" w:rsidRPr="003B4AEF">
        <w:rPr>
          <w:szCs w:val="20"/>
        </w:rPr>
        <w:t>Si la administración tarda en buscar la información que le ha sido requerida por las personas, no es responsabilidad de la persona sino de la organización de la administración</w:t>
      </w:r>
      <w:r w:rsidR="003B4AEF">
        <w:rPr>
          <w:szCs w:val="20"/>
        </w:rPr>
        <w:t xml:space="preserve">. Por ello proponemos la eliminación del punto 2 del artículo </w:t>
      </w:r>
      <w:r w:rsidR="005D1F75">
        <w:rPr>
          <w:szCs w:val="20"/>
        </w:rPr>
        <w:t>8</w:t>
      </w:r>
      <w:r w:rsidR="00A97456">
        <w:rPr>
          <w:szCs w:val="20"/>
        </w:rPr>
        <w:t xml:space="preserve"> y artículo 28</w:t>
      </w:r>
      <w:r w:rsidR="003B4AEF">
        <w:rPr>
          <w:szCs w:val="20"/>
        </w:rPr>
        <w:t>.</w:t>
      </w:r>
    </w:p>
    <w:p w:rsidR="001C2F91" w:rsidRPr="000F121F" w:rsidRDefault="001E4D35" w:rsidP="000F121F">
      <w:pPr>
        <w:pStyle w:val="Prrafodelista"/>
        <w:numPr>
          <w:ilvl w:val="0"/>
          <w:numId w:val="1"/>
        </w:numPr>
        <w:jc w:val="both"/>
        <w:rPr>
          <w:szCs w:val="20"/>
        </w:rPr>
      </w:pPr>
      <w:r>
        <w:rPr>
          <w:rFonts w:eastAsia="Calibri" w:cs="Tahoma"/>
          <w:b/>
          <w:color w:val="365F91"/>
          <w:spacing w:val="0"/>
          <w:szCs w:val="20"/>
          <w:lang w:eastAsia="en-US"/>
        </w:rPr>
        <w:t>Incluir mayor detalle en la información de</w:t>
      </w:r>
      <w:r w:rsidR="0044685B" w:rsidRPr="005D1F75">
        <w:rPr>
          <w:rFonts w:eastAsia="Calibri" w:cs="Tahoma"/>
          <w:b/>
          <w:color w:val="365F91"/>
          <w:spacing w:val="0"/>
          <w:szCs w:val="20"/>
          <w:lang w:eastAsia="en-US"/>
        </w:rPr>
        <w:t xml:space="preserve"> las retribuciones </w:t>
      </w:r>
      <w:r w:rsidR="000F121F" w:rsidRPr="005D1F75">
        <w:rPr>
          <w:rFonts w:eastAsia="Calibri" w:cs="Tahoma"/>
          <w:b/>
          <w:color w:val="365F91"/>
          <w:spacing w:val="0"/>
          <w:szCs w:val="20"/>
          <w:lang w:eastAsia="en-US"/>
        </w:rPr>
        <w:t xml:space="preserve">del personal </w:t>
      </w:r>
      <w:r w:rsidR="0044685B" w:rsidRPr="005D1F75">
        <w:rPr>
          <w:rFonts w:eastAsia="Calibri" w:cs="Tahoma"/>
          <w:b/>
          <w:color w:val="365F91"/>
          <w:spacing w:val="0"/>
          <w:szCs w:val="20"/>
          <w:lang w:eastAsia="en-US"/>
        </w:rPr>
        <w:t xml:space="preserve">así como los </w:t>
      </w:r>
      <w:r w:rsidR="00DC20D4" w:rsidRPr="005D1F75">
        <w:rPr>
          <w:rFonts w:eastAsia="Calibri" w:cs="Tahoma"/>
          <w:b/>
          <w:color w:val="365F91"/>
          <w:spacing w:val="0"/>
          <w:szCs w:val="20"/>
          <w:lang w:eastAsia="en-US"/>
        </w:rPr>
        <w:t>gastos de representación asignados</w:t>
      </w:r>
      <w:r>
        <w:rPr>
          <w:rFonts w:eastAsia="Calibri" w:cs="Tahoma"/>
          <w:b/>
          <w:color w:val="365F91"/>
          <w:spacing w:val="0"/>
          <w:szCs w:val="20"/>
          <w:lang w:eastAsia="en-US"/>
        </w:rPr>
        <w:t xml:space="preserve">por persona </w:t>
      </w:r>
      <w:r w:rsidR="0044685B" w:rsidRPr="005D1F75">
        <w:rPr>
          <w:rFonts w:eastAsia="Calibri" w:cs="Tahoma"/>
          <w:b/>
          <w:color w:val="365F91"/>
          <w:spacing w:val="0"/>
          <w:szCs w:val="20"/>
          <w:lang w:eastAsia="en-US"/>
        </w:rPr>
        <w:t>y su ejecución</w:t>
      </w:r>
      <w:r w:rsidR="00B05785" w:rsidRPr="005D1F75">
        <w:rPr>
          <w:rFonts w:eastAsia="Calibri" w:cs="Tahoma"/>
          <w:b/>
          <w:color w:val="365F91"/>
          <w:spacing w:val="0"/>
          <w:szCs w:val="20"/>
          <w:lang w:eastAsia="en-US"/>
        </w:rPr>
        <w:t>.</w:t>
      </w:r>
      <w:r>
        <w:t>Así mismo, consideramos que debe detallarse el concepto de asimilados. E</w:t>
      </w:r>
      <w:r w:rsidR="000F121F" w:rsidRPr="000F121F">
        <w:t xml:space="preserve">stos cambios </w:t>
      </w:r>
      <w:r w:rsidR="00B05785">
        <w:t xml:space="preserve">y el grado de detalle en la publicación de información </w:t>
      </w:r>
      <w:r w:rsidR="000F121F" w:rsidRPr="000F121F">
        <w:t>deberían afectar a todo el personal que intervenga en los procesos de toma de decisiones, no s</w:t>
      </w:r>
      <w:r>
        <w:t>ólo a los altos cargos</w:t>
      </w:r>
      <w:r w:rsidR="00C31062">
        <w:t>. (</w:t>
      </w:r>
      <w:r>
        <w:t>art. 14</w:t>
      </w:r>
      <w:r w:rsidR="00B05785">
        <w:t>).</w:t>
      </w:r>
    </w:p>
    <w:p w:rsidR="00DC20D4" w:rsidRPr="00A97456" w:rsidRDefault="00A97456" w:rsidP="00A97456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 w:rsidRPr="00A97456">
        <w:rPr>
          <w:rFonts w:eastAsia="Calibri" w:cs="Tahoma"/>
          <w:b/>
          <w:color w:val="365F91"/>
          <w:spacing w:val="0"/>
          <w:szCs w:val="20"/>
          <w:lang w:eastAsia="en-US"/>
        </w:rPr>
        <w:t>Ampliar la información proactiva sobre la actividad pública.</w:t>
      </w:r>
      <w:r w:rsidRPr="00A97456">
        <w:rPr>
          <w:szCs w:val="20"/>
        </w:rPr>
        <w:t>Incluir en el artículo 20 la publicación de órdenes del día y actas así como todos los eventos de las agendas de las personas con poder de toma de decisión (no sólo altos cargos y directivos) relacionados con el ejercicio de sus funciones (y no limitarse exclusivamente al concepto de evento público).</w:t>
      </w:r>
      <w:r>
        <w:rPr>
          <w:szCs w:val="20"/>
        </w:rPr>
        <w:t xml:space="preserve"> También se deben i</w:t>
      </w:r>
      <w:r w:rsidR="00DC20D4" w:rsidRPr="00A97456">
        <w:rPr>
          <w:szCs w:val="20"/>
        </w:rPr>
        <w:t>ncluir la información recibida por terceras partes como información a publicar de forma proactiva</w:t>
      </w:r>
      <w:r>
        <w:rPr>
          <w:szCs w:val="20"/>
        </w:rPr>
        <w:t>durante la elaboración de normativas.</w:t>
      </w:r>
    </w:p>
    <w:p w:rsidR="00A97456" w:rsidRPr="00A97456" w:rsidRDefault="00A97456" w:rsidP="00A97456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>
        <w:rPr>
          <w:rFonts w:eastAsia="Calibri" w:cs="Tahoma"/>
          <w:b/>
          <w:color w:val="365F91"/>
          <w:spacing w:val="0"/>
          <w:szCs w:val="20"/>
          <w:lang w:eastAsia="en-US"/>
        </w:rPr>
        <w:t xml:space="preserve">Incluir información sobre el derecho de acceso y cómo ejercitarlo entre la información a publicar en el portal de transparencia </w:t>
      </w:r>
      <w:r w:rsidRPr="00A97456">
        <w:rPr>
          <w:rFonts w:eastAsia="Calibri" w:cs="Tahoma"/>
          <w:spacing w:val="0"/>
          <w:szCs w:val="20"/>
          <w:lang w:eastAsia="en-US"/>
        </w:rPr>
        <w:t>(artículo 25)</w:t>
      </w:r>
    </w:p>
    <w:p w:rsidR="00F9168B" w:rsidRPr="00645BFC" w:rsidRDefault="00645BFC" w:rsidP="00812588">
      <w:pPr>
        <w:pStyle w:val="Prrafodelista"/>
        <w:numPr>
          <w:ilvl w:val="0"/>
          <w:numId w:val="1"/>
        </w:numPr>
        <w:jc w:val="both"/>
        <w:rPr>
          <w:szCs w:val="20"/>
        </w:rPr>
      </w:pPr>
      <w:r w:rsidRPr="00A97456">
        <w:rPr>
          <w:rFonts w:eastAsia="Calibri" w:cs="Tahoma"/>
          <w:b/>
          <w:color w:val="365F91"/>
          <w:spacing w:val="0"/>
          <w:szCs w:val="20"/>
          <w:lang w:eastAsia="en-US"/>
        </w:rPr>
        <w:t>Permitir realizar solicitudes de acceso a información por correo electrónico</w:t>
      </w:r>
      <w:r w:rsidRPr="00645BFC">
        <w:rPr>
          <w:szCs w:val="20"/>
        </w:rPr>
        <w:t>. La Ley 19/2013 establece limitaciones a la hora de solicitar la información. Los excesivos requisitos de identificación han sido reconocidos por el propio defensor del pueblo</w:t>
      </w:r>
      <w:r>
        <w:rPr>
          <w:szCs w:val="20"/>
        </w:rPr>
        <w:t xml:space="preserve"> y en muchos países de nuestro entorno se puede solicitar información por correo electrónico y sin necesidad de identificarse</w:t>
      </w:r>
      <w:r w:rsidRPr="00645BFC">
        <w:rPr>
          <w:szCs w:val="20"/>
        </w:rPr>
        <w:t xml:space="preserve">. </w:t>
      </w:r>
      <w:r w:rsidRPr="009D69E0">
        <w:rPr>
          <w:szCs w:val="20"/>
        </w:rPr>
        <w:t xml:space="preserve">A pesar de </w:t>
      </w:r>
      <w:r w:rsidR="00A97456">
        <w:rPr>
          <w:szCs w:val="20"/>
        </w:rPr>
        <w:t xml:space="preserve">ello, sí se pude favorecer el </w:t>
      </w:r>
      <w:r w:rsidR="00F9168B" w:rsidRPr="009D69E0">
        <w:rPr>
          <w:szCs w:val="20"/>
        </w:rPr>
        <w:t>acceso a la información</w:t>
      </w:r>
      <w:r w:rsidRPr="009D69E0">
        <w:rPr>
          <w:szCs w:val="20"/>
        </w:rPr>
        <w:t xml:space="preserve"> con un procedimiento de solicitud más simplificado</w:t>
      </w:r>
      <w:r w:rsidR="00A97456">
        <w:rPr>
          <w:szCs w:val="20"/>
        </w:rPr>
        <w:t xml:space="preserve"> alternativo</w:t>
      </w:r>
      <w:r w:rsidR="00194990">
        <w:rPr>
          <w:szCs w:val="20"/>
        </w:rPr>
        <w:t xml:space="preserve"> en el artículo 32</w:t>
      </w:r>
      <w:r w:rsidRPr="009D69E0">
        <w:rPr>
          <w:szCs w:val="20"/>
        </w:rPr>
        <w:t>.</w:t>
      </w:r>
      <w:r>
        <w:rPr>
          <w:szCs w:val="20"/>
        </w:rPr>
        <w:t xml:space="preserve">Pueden tomarse como ejemplo el sistema del Consejo general del poder Judicial o el </w:t>
      </w:r>
      <w:r>
        <w:rPr>
          <w:szCs w:val="20"/>
        </w:rPr>
        <w:lastRenderedPageBreak/>
        <w:t>borrador de ordenanza de transparencia del Ayuntamiento de Madrid.</w:t>
      </w:r>
      <w:r w:rsidR="00194990">
        <w:rPr>
          <w:szCs w:val="20"/>
        </w:rPr>
        <w:t xml:space="preserve"> En todo caso, deben establecerse garantías para los solicitantes a través de esta vía alternativa.</w:t>
      </w:r>
    </w:p>
    <w:p w:rsidR="009A1D49" w:rsidRDefault="00645BFC" w:rsidP="00812588">
      <w:pPr>
        <w:pStyle w:val="Prrafodelista"/>
        <w:numPr>
          <w:ilvl w:val="0"/>
          <w:numId w:val="1"/>
        </w:numPr>
        <w:jc w:val="both"/>
        <w:rPr>
          <w:szCs w:val="20"/>
        </w:rPr>
      </w:pPr>
      <w:r w:rsidRPr="00A97456">
        <w:rPr>
          <w:rFonts w:eastAsia="Calibri" w:cs="Tahoma"/>
          <w:b/>
          <w:color w:val="365F91"/>
          <w:spacing w:val="0"/>
          <w:szCs w:val="20"/>
          <w:lang w:eastAsia="en-US"/>
        </w:rPr>
        <w:t>Establecer s</w:t>
      </w:r>
      <w:r w:rsidR="009A1D49" w:rsidRPr="00A97456">
        <w:rPr>
          <w:rFonts w:eastAsia="Calibri" w:cs="Tahoma"/>
          <w:b/>
          <w:color w:val="365F91"/>
          <w:spacing w:val="0"/>
          <w:szCs w:val="20"/>
          <w:lang w:eastAsia="en-US"/>
        </w:rPr>
        <w:t>ilencio administrativo</w:t>
      </w:r>
      <w:r w:rsidRPr="00A97456">
        <w:rPr>
          <w:rFonts w:eastAsia="Calibri" w:cs="Tahoma"/>
          <w:b/>
          <w:color w:val="365F91"/>
          <w:spacing w:val="0"/>
          <w:szCs w:val="20"/>
          <w:lang w:eastAsia="en-US"/>
        </w:rPr>
        <w:t xml:space="preserve"> positivo.</w:t>
      </w:r>
      <w:r w:rsidRPr="00645BFC">
        <w:rPr>
          <w:szCs w:val="20"/>
        </w:rPr>
        <w:t xml:space="preserve"> El silencio administrativo negativo </w:t>
      </w:r>
      <w:r>
        <w:rPr>
          <w:szCs w:val="20"/>
        </w:rPr>
        <w:t xml:space="preserve">afecta a la predictibilidad de obtener la información y genera </w:t>
      </w:r>
      <w:r w:rsidRPr="00645BFC">
        <w:rPr>
          <w:szCs w:val="20"/>
        </w:rPr>
        <w:t>una inseguridad a las personas que ejercen su derecho de acceso a la información y desincentiva las solicitudes.</w:t>
      </w:r>
      <w:r w:rsidR="00812588">
        <w:rPr>
          <w:szCs w:val="20"/>
        </w:rPr>
        <w:t xml:space="preserve"> Debe establecerse silencio positivo tanto a la hora de responder a las solicitudes </w:t>
      </w:r>
      <w:r w:rsidR="00194990" w:rsidRPr="00194990">
        <w:rPr>
          <w:szCs w:val="20"/>
        </w:rPr>
        <w:t xml:space="preserve">(art. </w:t>
      </w:r>
      <w:r w:rsidR="00194990">
        <w:rPr>
          <w:szCs w:val="20"/>
        </w:rPr>
        <w:t>36</w:t>
      </w:r>
      <w:r w:rsidR="000566B8" w:rsidRPr="00194990">
        <w:rPr>
          <w:szCs w:val="20"/>
        </w:rPr>
        <w:t>)</w:t>
      </w:r>
      <w:r w:rsidR="00812588">
        <w:rPr>
          <w:szCs w:val="20"/>
        </w:rPr>
        <w:t xml:space="preserve">como a las reclamaciones ante del Comisionado de </w:t>
      </w:r>
      <w:r w:rsidR="00812588" w:rsidRPr="00194990">
        <w:rPr>
          <w:szCs w:val="20"/>
        </w:rPr>
        <w:t>transparencia</w:t>
      </w:r>
      <w:r w:rsidR="000566B8" w:rsidRPr="00194990">
        <w:rPr>
          <w:szCs w:val="20"/>
        </w:rPr>
        <w:t xml:space="preserve"> (</w:t>
      </w:r>
      <w:r w:rsidR="00194990" w:rsidRPr="00194990">
        <w:rPr>
          <w:szCs w:val="20"/>
        </w:rPr>
        <w:t>art.3</w:t>
      </w:r>
      <w:r w:rsidR="000566B8" w:rsidRPr="00194990">
        <w:rPr>
          <w:szCs w:val="20"/>
        </w:rPr>
        <w:t>7)</w:t>
      </w:r>
      <w:r w:rsidR="00812588" w:rsidRPr="00194990">
        <w:rPr>
          <w:szCs w:val="20"/>
        </w:rPr>
        <w:t>.</w:t>
      </w:r>
    </w:p>
    <w:p w:rsidR="007D4A99" w:rsidRPr="007D4A99" w:rsidRDefault="004B3BBB" w:rsidP="00812588">
      <w:pPr>
        <w:pStyle w:val="Prrafodelista"/>
        <w:numPr>
          <w:ilvl w:val="0"/>
          <w:numId w:val="1"/>
        </w:numPr>
        <w:jc w:val="both"/>
        <w:rPr>
          <w:szCs w:val="20"/>
        </w:rPr>
      </w:pPr>
      <w:r w:rsidRPr="00194990">
        <w:rPr>
          <w:rFonts w:eastAsia="Calibri" w:cs="Tahoma"/>
          <w:b/>
          <w:color w:val="365F91"/>
          <w:spacing w:val="0"/>
          <w:szCs w:val="20"/>
          <w:lang w:eastAsia="en-US"/>
        </w:rPr>
        <w:t>Establecer plazos para resolver de 15 días hábiles o 20 días naturales</w:t>
      </w:r>
      <w:r>
        <w:rPr>
          <w:szCs w:val="20"/>
        </w:rPr>
        <w:t>de acuerdo con las buenas prácticas y con los estándares internacionales</w:t>
      </w:r>
      <w:r w:rsidR="00194990">
        <w:rPr>
          <w:szCs w:val="20"/>
        </w:rPr>
        <w:t xml:space="preserve"> en el artículo 35</w:t>
      </w:r>
      <w:r>
        <w:rPr>
          <w:szCs w:val="20"/>
        </w:rPr>
        <w:t>.</w:t>
      </w:r>
      <w:r w:rsidR="007D4A99">
        <w:rPr>
          <w:szCs w:val="20"/>
        </w:rPr>
        <w:t xml:space="preserve"> Las personas deben tener acceso a información en un plazo razonable y lo más corto posible. Así mismo, el plazo para responder debe contarse desde que la solicitud se realiza por la persona y no desde la recepción del órgano competente para resolver. En su defecto, deber establecerse un plazo breve entre el registro y la recepción por el órgano encargado de resolver. </w:t>
      </w:r>
    </w:p>
    <w:p w:rsidR="004B3BBB" w:rsidRPr="00F834DD" w:rsidRDefault="004B3BBB" w:rsidP="00812588">
      <w:pPr>
        <w:pStyle w:val="Prrafodelista"/>
        <w:numPr>
          <w:ilvl w:val="0"/>
          <w:numId w:val="1"/>
        </w:numPr>
        <w:jc w:val="both"/>
        <w:rPr>
          <w:szCs w:val="20"/>
        </w:rPr>
      </w:pPr>
      <w:r w:rsidRPr="00194990">
        <w:rPr>
          <w:rFonts w:eastAsia="Calibri" w:cs="Tahoma"/>
          <w:b/>
          <w:color w:val="365F91"/>
          <w:spacing w:val="0"/>
          <w:szCs w:val="20"/>
          <w:lang w:eastAsia="en-US"/>
        </w:rPr>
        <w:t>Eliminar la</w:t>
      </w:r>
      <w:r w:rsidR="000566B8" w:rsidRPr="00194990">
        <w:rPr>
          <w:rFonts w:eastAsia="Calibri" w:cs="Tahoma"/>
          <w:b/>
          <w:color w:val="365F91"/>
          <w:spacing w:val="0"/>
          <w:szCs w:val="20"/>
          <w:lang w:eastAsia="en-US"/>
        </w:rPr>
        <w:t>s causas de inadmisión</w:t>
      </w:r>
      <w:r w:rsidR="00384A88" w:rsidRPr="00194990">
        <w:rPr>
          <w:rFonts w:eastAsia="Calibri" w:cs="Tahoma"/>
          <w:b/>
          <w:color w:val="365F91"/>
          <w:spacing w:val="0"/>
          <w:szCs w:val="20"/>
          <w:lang w:eastAsia="en-US"/>
        </w:rPr>
        <w:t xml:space="preserve"> a tr</w:t>
      </w:r>
      <w:r w:rsidR="00F834DD" w:rsidRPr="00194990">
        <w:rPr>
          <w:rFonts w:eastAsia="Calibri" w:cs="Tahoma"/>
          <w:b/>
          <w:color w:val="365F91"/>
          <w:spacing w:val="0"/>
          <w:szCs w:val="20"/>
          <w:lang w:eastAsia="en-US"/>
        </w:rPr>
        <w:t>ámite de las solicitudes.</w:t>
      </w:r>
      <w:r w:rsidR="00F834DD" w:rsidRPr="00F834DD">
        <w:rPr>
          <w:szCs w:val="20"/>
        </w:rPr>
        <w:t>A pesar de que se ha hecho esfuerzo en incluir una interpretación favorable a algunas causas de inadmisión, como por ejemplo la no consideración de los informes preceptivos como información auxiliar o de apoyo, la mayoría de las causas de inadmisión no están en línea con los estándares internacionales. Todas</w:t>
      </w:r>
      <w:r w:rsidR="00384A88" w:rsidRPr="00F834DD">
        <w:rPr>
          <w:szCs w:val="20"/>
        </w:rPr>
        <w:t xml:space="preserve"> las causas de inadmisión establecidas </w:t>
      </w:r>
      <w:r w:rsidR="00194990">
        <w:rPr>
          <w:szCs w:val="20"/>
        </w:rPr>
        <w:t xml:space="preserve">en el artículo </w:t>
      </w:r>
      <w:r w:rsidR="00F834DD">
        <w:rPr>
          <w:szCs w:val="20"/>
        </w:rPr>
        <w:t>3</w:t>
      </w:r>
      <w:r w:rsidR="00194990">
        <w:rPr>
          <w:szCs w:val="20"/>
        </w:rPr>
        <w:t>4</w:t>
      </w:r>
      <w:r w:rsidR="00384A88" w:rsidRPr="00F834DD">
        <w:rPr>
          <w:szCs w:val="20"/>
        </w:rPr>
        <w:t>pueden dar lugar a arbitrariedad en la a</w:t>
      </w:r>
      <w:r w:rsidR="00194990">
        <w:rPr>
          <w:szCs w:val="20"/>
        </w:rPr>
        <w:t>plicación del derecho de acceso.</w:t>
      </w:r>
    </w:p>
    <w:p w:rsidR="00F41E5A" w:rsidRPr="00194990" w:rsidRDefault="00F41E5A" w:rsidP="00F41E5A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 w:rsidRPr="00194990">
        <w:rPr>
          <w:rFonts w:eastAsia="Calibri" w:cs="Tahoma"/>
          <w:b/>
          <w:color w:val="365F91"/>
          <w:spacing w:val="0"/>
          <w:szCs w:val="20"/>
          <w:lang w:eastAsia="en-US"/>
        </w:rPr>
        <w:t>Concretar y matizar la posibilidad de abonar tasas por la t</w:t>
      </w:r>
      <w:r w:rsidR="00B441F0" w:rsidRPr="00194990">
        <w:rPr>
          <w:rFonts w:eastAsia="Calibri" w:cs="Tahoma"/>
          <w:b/>
          <w:color w:val="365F91"/>
          <w:spacing w:val="0"/>
          <w:szCs w:val="20"/>
          <w:lang w:eastAsia="en-US"/>
        </w:rPr>
        <w:t>ransposición de la información a un formato diferente del original.</w:t>
      </w:r>
      <w:r w:rsidR="00B441F0" w:rsidRPr="00B441F0">
        <w:rPr>
          <w:szCs w:val="20"/>
        </w:rPr>
        <w:t xml:space="preserve">Debe concretarse este aspecto en el artículo </w:t>
      </w:r>
      <w:r w:rsidR="005D1F75">
        <w:rPr>
          <w:szCs w:val="20"/>
        </w:rPr>
        <w:t xml:space="preserve">11 </w:t>
      </w:r>
      <w:r w:rsidR="001E4D35">
        <w:rPr>
          <w:szCs w:val="20"/>
        </w:rPr>
        <w:t xml:space="preserve">e) </w:t>
      </w:r>
      <w:r w:rsidR="00B441F0" w:rsidRPr="00B441F0">
        <w:rPr>
          <w:szCs w:val="20"/>
        </w:rPr>
        <w:t>para que no haya aplicaciones excesivas de la legislación al respecto</w:t>
      </w:r>
      <w:r w:rsidR="00B441F0">
        <w:rPr>
          <w:szCs w:val="20"/>
        </w:rPr>
        <w:t xml:space="preserve">. </w:t>
      </w:r>
      <w:r w:rsidR="008B2C61">
        <w:rPr>
          <w:szCs w:val="20"/>
        </w:rPr>
        <w:t>En todo caso, debe quedar claro que el escaneo o digitalización de un documento no debe ser considerado transposición de la información.</w:t>
      </w:r>
      <w:r w:rsidR="00F834DD">
        <w:rPr>
          <w:szCs w:val="20"/>
        </w:rPr>
        <w:t>Este artículo contradice el principio de accesibilidad de información y las prácticas internacionales. Por ejemplo</w:t>
      </w:r>
      <w:r w:rsidR="00C30BFF">
        <w:rPr>
          <w:szCs w:val="20"/>
        </w:rPr>
        <w:t>,</w:t>
      </w:r>
      <w:r w:rsidR="00F834DD">
        <w:rPr>
          <w:szCs w:val="20"/>
        </w:rPr>
        <w:t xml:space="preserve"> ya hay países que están estableciendo dentro de sus legislaciones de acceso a información la trasposición al Braille de la información</w:t>
      </w:r>
      <w:r w:rsidR="00C30BFF">
        <w:rPr>
          <w:szCs w:val="20"/>
        </w:rPr>
        <w:t>.</w:t>
      </w:r>
    </w:p>
    <w:p w:rsidR="00F85DF5" w:rsidRPr="00F85DF5" w:rsidRDefault="00194990" w:rsidP="00F85DF5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 w:rsidRPr="00194990">
        <w:rPr>
          <w:rFonts w:eastAsia="Calibri" w:cs="Tahoma"/>
          <w:b/>
          <w:color w:val="365F91"/>
          <w:spacing w:val="0"/>
          <w:szCs w:val="20"/>
          <w:lang w:eastAsia="en-US"/>
        </w:rPr>
        <w:t>Garantizar la independencia del Co</w:t>
      </w:r>
      <w:r>
        <w:rPr>
          <w:rFonts w:eastAsia="Calibri" w:cs="Tahoma"/>
          <w:b/>
          <w:color w:val="365F91"/>
          <w:spacing w:val="0"/>
          <w:szCs w:val="20"/>
          <w:lang w:eastAsia="en-US"/>
        </w:rPr>
        <w:t>nsejo</w:t>
      </w:r>
      <w:r w:rsidRPr="00194990">
        <w:rPr>
          <w:rFonts w:eastAsia="Calibri" w:cs="Tahoma"/>
          <w:b/>
          <w:color w:val="365F91"/>
          <w:spacing w:val="0"/>
          <w:szCs w:val="20"/>
          <w:lang w:eastAsia="en-US"/>
        </w:rPr>
        <w:t xml:space="preserve"> de Transparencia y </w:t>
      </w:r>
      <w:r>
        <w:rPr>
          <w:rFonts w:eastAsia="Calibri" w:cs="Tahoma"/>
          <w:b/>
          <w:color w:val="365F91"/>
          <w:spacing w:val="0"/>
          <w:szCs w:val="20"/>
          <w:lang w:eastAsia="en-US"/>
        </w:rPr>
        <w:t>Buen Gobierno del principado de Asturias</w:t>
      </w:r>
      <w:r w:rsidRPr="00194990">
        <w:rPr>
          <w:rFonts w:eastAsia="Calibri" w:cs="Tahoma"/>
          <w:b/>
          <w:color w:val="365F91"/>
          <w:spacing w:val="0"/>
          <w:szCs w:val="20"/>
          <w:lang w:eastAsia="en-US"/>
        </w:rPr>
        <w:t>.</w:t>
      </w:r>
      <w:r w:rsidRPr="00220A3D">
        <w:rPr>
          <w:szCs w:val="20"/>
        </w:rPr>
        <w:t xml:space="preserve">Debe garantizarse </w:t>
      </w:r>
      <w:r>
        <w:rPr>
          <w:szCs w:val="20"/>
        </w:rPr>
        <w:t xml:space="preserve">tanto </w:t>
      </w:r>
      <w:r w:rsidRPr="00220A3D">
        <w:rPr>
          <w:szCs w:val="20"/>
        </w:rPr>
        <w:t xml:space="preserve">su independencia orgánica como para que ejerza su papel como un verdadero mecanismo de </w:t>
      </w:r>
      <w:r w:rsidRPr="00475549">
        <w:rPr>
          <w:szCs w:val="20"/>
        </w:rPr>
        <w:t>control.</w:t>
      </w:r>
      <w:r>
        <w:rPr>
          <w:szCs w:val="20"/>
        </w:rPr>
        <w:t xml:space="preserve">El nombramiento del presidente debe </w:t>
      </w:r>
      <w:r w:rsidRPr="00475549">
        <w:rPr>
          <w:szCs w:val="20"/>
        </w:rPr>
        <w:t>cumplir requisitos de experiencia profesional y currículum adecuado para el puesto,</w:t>
      </w:r>
      <w:r>
        <w:rPr>
          <w:szCs w:val="20"/>
        </w:rPr>
        <w:t xml:space="preserve"> ser elegido por la mayoría de la Junta General en</w:t>
      </w:r>
      <w:r w:rsidRPr="00475549">
        <w:rPr>
          <w:szCs w:val="20"/>
        </w:rPr>
        <w:t xml:space="preserve"> proceso de audiencias públicas</w:t>
      </w:r>
      <w:r>
        <w:rPr>
          <w:szCs w:val="20"/>
        </w:rPr>
        <w:t>, no por el Gobierno a propuesta de la Junta General.</w:t>
      </w:r>
      <w:r w:rsidR="008046D3">
        <w:rPr>
          <w:szCs w:val="20"/>
        </w:rPr>
        <w:t xml:space="preserve"> Así mismo, la independencia del Consejo y de la propia Comisión se ve afectada por la presencia de cargos políticos como los grupos parlamentarios. Deben ser profesionales cualificados e independientes quienes formen parte de la Comisión.</w:t>
      </w:r>
    </w:p>
    <w:p w:rsidR="00194990" w:rsidRPr="00F85DF5" w:rsidRDefault="00194990" w:rsidP="00F85DF5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 w:rsidRPr="00F85DF5">
        <w:rPr>
          <w:rFonts w:eastAsia="Calibri" w:cs="Tahoma"/>
          <w:b/>
          <w:color w:val="365F91"/>
          <w:spacing w:val="0"/>
          <w:szCs w:val="20"/>
          <w:lang w:eastAsia="en-US"/>
        </w:rPr>
        <w:t>Dotar al Co</w:t>
      </w:r>
      <w:r w:rsidR="00F85DF5" w:rsidRPr="00F85DF5">
        <w:rPr>
          <w:rFonts w:eastAsia="Calibri" w:cs="Tahoma"/>
          <w:b/>
          <w:color w:val="365F91"/>
          <w:spacing w:val="0"/>
          <w:szCs w:val="20"/>
          <w:lang w:eastAsia="en-US"/>
        </w:rPr>
        <w:t xml:space="preserve">nsejo de Transparencia y Buen Gobierno </w:t>
      </w:r>
      <w:r w:rsidRPr="00F85DF5">
        <w:rPr>
          <w:rFonts w:eastAsia="Calibri" w:cs="Tahoma"/>
          <w:b/>
          <w:color w:val="365F91"/>
          <w:spacing w:val="0"/>
          <w:szCs w:val="20"/>
          <w:lang w:eastAsia="en-US"/>
        </w:rPr>
        <w:t>de poder para la iniciación y resolución de procedimientos disciplinarios.</w:t>
      </w:r>
      <w:r w:rsidRPr="00F85DF5">
        <w:rPr>
          <w:szCs w:val="20"/>
        </w:rPr>
        <w:t>Para garantizar la eficacia del sistema de sanciones y enfatizar su carácter disuasorio, éstas deben ser establecidas por un órgano independiente. Es decir, el Consejo debe tener poder sancionador para supervisar y garantizar la aplicación de la legislación por un órgano independiente.</w:t>
      </w:r>
    </w:p>
    <w:p w:rsidR="00194990" w:rsidRPr="00F85DF5" w:rsidRDefault="00194990" w:rsidP="00F85DF5">
      <w:pPr>
        <w:ind w:left="360"/>
        <w:jc w:val="both"/>
        <w:rPr>
          <w:b/>
          <w:szCs w:val="20"/>
        </w:rPr>
      </w:pPr>
    </w:p>
    <w:p w:rsidR="00C30BFF" w:rsidRPr="00F85DF5" w:rsidRDefault="00C30BFF" w:rsidP="00F85DF5">
      <w:pPr>
        <w:jc w:val="both"/>
        <w:rPr>
          <w:rFonts w:eastAsia="Calibri" w:cs="Tahoma"/>
          <w:b/>
          <w:color w:val="365F91"/>
          <w:spacing w:val="0"/>
          <w:szCs w:val="20"/>
          <w:lang w:eastAsia="en-US"/>
        </w:rPr>
      </w:pPr>
      <w:r w:rsidRPr="00F85DF5">
        <w:rPr>
          <w:rFonts w:eastAsia="Calibri" w:cs="Tahoma"/>
          <w:b/>
          <w:color w:val="365F91"/>
          <w:spacing w:val="0"/>
          <w:szCs w:val="20"/>
          <w:lang w:eastAsia="en-US"/>
        </w:rPr>
        <w:t>Regulación del lobby</w:t>
      </w:r>
    </w:p>
    <w:p w:rsidR="006E7C94" w:rsidRDefault="00C30BFF" w:rsidP="006E7C94">
      <w:pPr>
        <w:jc w:val="both"/>
        <w:rPr>
          <w:bCs/>
          <w:szCs w:val="20"/>
        </w:rPr>
      </w:pPr>
      <w:r w:rsidRPr="006E7C94">
        <w:rPr>
          <w:szCs w:val="20"/>
        </w:rPr>
        <w:lastRenderedPageBreak/>
        <w:t>La ley supone un paso adelante en favor de la trans</w:t>
      </w:r>
      <w:r w:rsidR="00A97456">
        <w:rPr>
          <w:szCs w:val="20"/>
        </w:rPr>
        <w:t xml:space="preserve">parencia y rendición de cuentas de la actividad pública. No obstante, como se ha sugerido en el artículo 20, </w:t>
      </w:r>
      <w:r w:rsidRPr="006E7C94">
        <w:rPr>
          <w:szCs w:val="20"/>
        </w:rPr>
        <w:t xml:space="preserve">consideramos que deben introducirse aspectos más concretos </w:t>
      </w:r>
      <w:r w:rsidR="00F85DF5">
        <w:rPr>
          <w:szCs w:val="20"/>
        </w:rPr>
        <w:t xml:space="preserve">sobre la regulación del lobby que </w:t>
      </w:r>
      <w:r w:rsidRPr="006E7C94">
        <w:rPr>
          <w:szCs w:val="20"/>
        </w:rPr>
        <w:t>ayude</w:t>
      </w:r>
      <w:r w:rsidR="00F85DF5">
        <w:rPr>
          <w:szCs w:val="20"/>
        </w:rPr>
        <w:t>n</w:t>
      </w:r>
      <w:r w:rsidRPr="006E7C94">
        <w:rPr>
          <w:szCs w:val="20"/>
        </w:rPr>
        <w:t xml:space="preserve"> a co</w:t>
      </w:r>
      <w:r w:rsidR="006E7C94" w:rsidRPr="006E7C94">
        <w:rPr>
          <w:szCs w:val="20"/>
        </w:rPr>
        <w:t xml:space="preserve">nseguir una mayor transparencia. </w:t>
      </w:r>
      <w:r w:rsidR="006E7C94" w:rsidRPr="006E7C94">
        <w:rPr>
          <w:bCs/>
          <w:szCs w:val="20"/>
        </w:rPr>
        <w:t xml:space="preserve">Esta propuesta se realiza de acuerdo con los </w:t>
      </w:r>
      <w:hyperlink r:id="rId10" w:history="1">
        <w:r w:rsidR="006E7C94" w:rsidRPr="006E7C94">
          <w:rPr>
            <w:rStyle w:val="Hipervnculo"/>
            <w:bCs/>
            <w:szCs w:val="20"/>
          </w:rPr>
          <w:t>Estándares Internacionales para la Regulación del lobby</w:t>
        </w:r>
      </w:hyperlink>
      <w:r w:rsidR="006E7C94" w:rsidRPr="006E7C94">
        <w:rPr>
          <w:bCs/>
          <w:szCs w:val="20"/>
        </w:rPr>
        <w:t xml:space="preserve"> que son el resultado de dos años de trabajo conjunto de la sociedad civil, impulsado por Transparency International, Access Info Europe, Sunlight Foundation, ALTER-EU y Open Knowledge Foundation.</w:t>
      </w:r>
    </w:p>
    <w:p w:rsidR="006E7C94" w:rsidRPr="006E7C94" w:rsidRDefault="00F85DF5" w:rsidP="006E7C94">
      <w:pPr>
        <w:pStyle w:val="Prrafodelista"/>
        <w:numPr>
          <w:ilvl w:val="0"/>
          <w:numId w:val="1"/>
        </w:numPr>
        <w:jc w:val="both"/>
        <w:rPr>
          <w:bCs/>
          <w:szCs w:val="20"/>
        </w:rPr>
      </w:pPr>
      <w:r w:rsidRPr="00F85DF5">
        <w:rPr>
          <w:rFonts w:eastAsia="Calibri" w:cs="Tahoma"/>
          <w:b/>
          <w:color w:val="365F91"/>
          <w:spacing w:val="0"/>
          <w:szCs w:val="20"/>
          <w:lang w:eastAsia="en-US"/>
        </w:rPr>
        <w:t>Crear un</w:t>
      </w:r>
      <w:r w:rsidR="006E7C94" w:rsidRPr="00F85DF5">
        <w:rPr>
          <w:rFonts w:eastAsia="Calibri" w:cs="Tahoma"/>
          <w:b/>
          <w:color w:val="365F91"/>
          <w:spacing w:val="0"/>
          <w:szCs w:val="20"/>
          <w:lang w:eastAsia="en-US"/>
        </w:rPr>
        <w:t xml:space="preserve"> registro de transparencia.</w:t>
      </w:r>
      <w:r w:rsidR="006E7C94">
        <w:rPr>
          <w:bCs/>
          <w:szCs w:val="20"/>
        </w:rPr>
        <w:t>E</w:t>
      </w:r>
      <w:r w:rsidR="006E7C94" w:rsidRPr="006E7C94">
        <w:rPr>
          <w:bCs/>
          <w:szCs w:val="20"/>
        </w:rPr>
        <w:t xml:space="preserve">l registro debe contener como mínimo información sobre: </w:t>
      </w:r>
    </w:p>
    <w:p w:rsidR="006E7C94" w:rsidRPr="006E7C94" w:rsidRDefault="006E7C94" w:rsidP="006E7C94">
      <w:pPr>
        <w:pStyle w:val="Prrafodelista"/>
        <w:numPr>
          <w:ilvl w:val="1"/>
          <w:numId w:val="1"/>
        </w:numPr>
        <w:rPr>
          <w:bCs/>
          <w:szCs w:val="20"/>
        </w:rPr>
      </w:pPr>
      <w:r w:rsidRPr="006E7C94">
        <w:rPr>
          <w:bCs/>
          <w:szCs w:val="20"/>
        </w:rPr>
        <w:t>la identidad de los lobistas</w:t>
      </w:r>
    </w:p>
    <w:p w:rsidR="006E7C94" w:rsidRPr="006E7C94" w:rsidRDefault="006E7C94" w:rsidP="006E7C94">
      <w:pPr>
        <w:pStyle w:val="Prrafodelista"/>
        <w:numPr>
          <w:ilvl w:val="1"/>
          <w:numId w:val="1"/>
        </w:numPr>
        <w:rPr>
          <w:bCs/>
          <w:szCs w:val="20"/>
        </w:rPr>
      </w:pPr>
      <w:r w:rsidRPr="006E7C94">
        <w:rPr>
          <w:bCs/>
          <w:szCs w:val="20"/>
        </w:rPr>
        <w:t>el objeto de las actividades de lobby y los resultados buscados</w:t>
      </w:r>
    </w:p>
    <w:p w:rsidR="006E7C94" w:rsidRPr="006E7C94" w:rsidRDefault="006E7C94" w:rsidP="006E7C94">
      <w:pPr>
        <w:pStyle w:val="Prrafodelista"/>
        <w:numPr>
          <w:ilvl w:val="1"/>
          <w:numId w:val="1"/>
        </w:numPr>
        <w:rPr>
          <w:bCs/>
          <w:szCs w:val="20"/>
        </w:rPr>
      </w:pPr>
      <w:r w:rsidRPr="006E7C94">
        <w:rPr>
          <w:bCs/>
          <w:szCs w:val="20"/>
        </w:rPr>
        <w:t>el beneficiario final de las actividades de lobby (cuando sea relevante)</w:t>
      </w:r>
    </w:p>
    <w:p w:rsidR="006E7C94" w:rsidRPr="006E7C94" w:rsidRDefault="006E7C94" w:rsidP="006E7C94">
      <w:pPr>
        <w:pStyle w:val="Prrafodelista"/>
        <w:numPr>
          <w:ilvl w:val="1"/>
          <w:numId w:val="1"/>
        </w:numPr>
        <w:rPr>
          <w:bCs/>
          <w:szCs w:val="20"/>
        </w:rPr>
      </w:pPr>
      <w:r w:rsidRPr="006E7C94">
        <w:rPr>
          <w:bCs/>
          <w:szCs w:val="20"/>
        </w:rPr>
        <w:t xml:space="preserve">la institución destinataria y/o el cargo público implicado </w:t>
      </w:r>
    </w:p>
    <w:p w:rsidR="006E7C94" w:rsidRPr="006E7C94" w:rsidRDefault="006E7C94" w:rsidP="006E7C94">
      <w:pPr>
        <w:pStyle w:val="Prrafodelista"/>
        <w:numPr>
          <w:ilvl w:val="1"/>
          <w:numId w:val="1"/>
        </w:numPr>
        <w:rPr>
          <w:bCs/>
          <w:szCs w:val="20"/>
        </w:rPr>
      </w:pPr>
      <w:r w:rsidRPr="006E7C94">
        <w:rPr>
          <w:bCs/>
          <w:szCs w:val="20"/>
        </w:rPr>
        <w:t>el tipo y la frecuencia de las actividades de lobby</w:t>
      </w:r>
    </w:p>
    <w:p w:rsidR="006E7C94" w:rsidRPr="006E7C94" w:rsidRDefault="006E7C94" w:rsidP="006E7C94">
      <w:pPr>
        <w:pStyle w:val="Prrafodelista"/>
        <w:numPr>
          <w:ilvl w:val="1"/>
          <w:numId w:val="1"/>
        </w:numPr>
        <w:rPr>
          <w:bCs/>
          <w:szCs w:val="20"/>
        </w:rPr>
      </w:pPr>
      <w:r w:rsidRPr="006E7C94">
        <w:rPr>
          <w:bCs/>
          <w:szCs w:val="20"/>
        </w:rPr>
        <w:t xml:space="preserve">toda documentación de referencia intercambiada con los cargos públicos </w:t>
      </w:r>
    </w:p>
    <w:p w:rsidR="006E7C94" w:rsidRPr="006E7C94" w:rsidRDefault="006E7C94" w:rsidP="006E7C94">
      <w:pPr>
        <w:pStyle w:val="Prrafodelista"/>
        <w:numPr>
          <w:ilvl w:val="1"/>
          <w:numId w:val="1"/>
        </w:numPr>
        <w:rPr>
          <w:bCs/>
          <w:szCs w:val="20"/>
        </w:rPr>
      </w:pPr>
      <w:r w:rsidRPr="006E7C94">
        <w:rPr>
          <w:bCs/>
          <w:szCs w:val="20"/>
        </w:rPr>
        <w:t xml:space="preserve">gastos de lobby, incluidos gastos en especie (calculados conforme a criterios preestablecidos, de ser necesario en rangos de costo) </w:t>
      </w:r>
    </w:p>
    <w:p w:rsidR="006E7C94" w:rsidRPr="006E7C94" w:rsidRDefault="006E7C94" w:rsidP="006E7C94">
      <w:pPr>
        <w:pStyle w:val="Prrafodelista"/>
        <w:numPr>
          <w:ilvl w:val="1"/>
          <w:numId w:val="1"/>
        </w:numPr>
        <w:rPr>
          <w:bCs/>
          <w:szCs w:val="20"/>
        </w:rPr>
      </w:pPr>
      <w:r w:rsidRPr="006E7C94">
        <w:rPr>
          <w:bCs/>
          <w:szCs w:val="20"/>
        </w:rPr>
        <w:t>fuentes de financiación, por cliente y por dossier</w:t>
      </w:r>
    </w:p>
    <w:p w:rsidR="006E7C94" w:rsidRPr="006E7C94" w:rsidRDefault="006E7C94" w:rsidP="006E7C94">
      <w:pPr>
        <w:pStyle w:val="Prrafodelista"/>
        <w:numPr>
          <w:ilvl w:val="1"/>
          <w:numId w:val="1"/>
        </w:numPr>
        <w:rPr>
          <w:bCs/>
          <w:szCs w:val="20"/>
        </w:rPr>
      </w:pPr>
      <w:r w:rsidRPr="006E7C94">
        <w:rPr>
          <w:bCs/>
          <w:szCs w:val="20"/>
        </w:rPr>
        <w:t>todo tipo de contribuciones políticas, incluso en especie</w:t>
      </w:r>
    </w:p>
    <w:p w:rsidR="006E7C94" w:rsidRPr="006E7C94" w:rsidRDefault="006E7C94" w:rsidP="006E7C94">
      <w:pPr>
        <w:pStyle w:val="Prrafodelista"/>
        <w:numPr>
          <w:ilvl w:val="1"/>
          <w:numId w:val="1"/>
        </w:numPr>
        <w:rPr>
          <w:bCs/>
          <w:szCs w:val="20"/>
        </w:rPr>
      </w:pPr>
      <w:r w:rsidRPr="006E7C94">
        <w:rPr>
          <w:bCs/>
          <w:szCs w:val="20"/>
        </w:rPr>
        <w:t>cargos públicos ocupados anteriormente por la persona y/o sus familiares</w:t>
      </w:r>
    </w:p>
    <w:p w:rsidR="00C30BFF" w:rsidRPr="006E7C94" w:rsidRDefault="006E7C94" w:rsidP="006E7C94">
      <w:pPr>
        <w:pStyle w:val="Prrafodelista"/>
        <w:numPr>
          <w:ilvl w:val="1"/>
          <w:numId w:val="1"/>
        </w:numPr>
        <w:jc w:val="both"/>
        <w:rPr>
          <w:szCs w:val="20"/>
        </w:rPr>
      </w:pPr>
      <w:r w:rsidRPr="006E7C94">
        <w:rPr>
          <w:bCs/>
          <w:szCs w:val="20"/>
        </w:rPr>
        <w:t>fondos públicos recibidos</w:t>
      </w:r>
    </w:p>
    <w:p w:rsidR="006E7C94" w:rsidRPr="006E7C94" w:rsidRDefault="006E7C94" w:rsidP="006E7C94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 w:rsidRPr="00F85DF5">
        <w:rPr>
          <w:rFonts w:eastAsia="Calibri" w:cs="Tahoma"/>
          <w:b/>
          <w:color w:val="365F91"/>
          <w:spacing w:val="0"/>
          <w:szCs w:val="20"/>
          <w:lang w:eastAsia="en-US"/>
        </w:rPr>
        <w:t>Especificar</w:t>
      </w:r>
      <w:r w:rsidR="008B2C61" w:rsidRPr="00F85DF5">
        <w:rPr>
          <w:rFonts w:eastAsia="Calibri" w:cs="Tahoma"/>
          <w:b/>
          <w:color w:val="365F91"/>
          <w:spacing w:val="0"/>
          <w:szCs w:val="20"/>
          <w:lang w:eastAsia="en-US"/>
        </w:rPr>
        <w:t xml:space="preserve"> los sujetos obligados a inscribirse en el registro y qué tipo de actividad debe cubrir.</w:t>
      </w:r>
      <w:r w:rsidR="008B2C61" w:rsidRPr="006E7C94">
        <w:rPr>
          <w:szCs w:val="20"/>
        </w:rPr>
        <w:t xml:space="preserve"> Toda persona (física o jurídica) que intervenga en los procesos de toma de decisión pública, así mismo debe cubrir a todas las personas del sector público con responsabilidad en la toma de decisiones no limitarse</w:t>
      </w:r>
      <w:r>
        <w:rPr>
          <w:szCs w:val="20"/>
        </w:rPr>
        <w:t xml:space="preserve"> a los representantes públicos.</w:t>
      </w:r>
    </w:p>
    <w:p w:rsidR="006E7C94" w:rsidRPr="006E7C94" w:rsidRDefault="006E7C94" w:rsidP="006E7C94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 w:rsidRPr="00F85DF5">
        <w:rPr>
          <w:rFonts w:eastAsia="Calibri" w:cs="Tahoma"/>
          <w:b/>
          <w:color w:val="365F91"/>
          <w:spacing w:val="0"/>
          <w:szCs w:val="20"/>
          <w:lang w:eastAsia="en-US"/>
        </w:rPr>
        <w:t>Establecer un sistema de sanciones</w:t>
      </w:r>
      <w:r w:rsidRPr="006E7C94">
        <w:rPr>
          <w:szCs w:val="20"/>
        </w:rPr>
        <w:t>.</w:t>
      </w:r>
      <w:r w:rsidR="00812588" w:rsidRPr="006E7C94">
        <w:rPr>
          <w:szCs w:val="20"/>
        </w:rPr>
        <w:t>Para que dicho registro sea efectivo debe establecerse la prohibición por parte de los trabajadores públicos de reunirse con personas que no están inscritas en el registro y el establecimiento de sancione</w:t>
      </w:r>
      <w:r>
        <w:rPr>
          <w:szCs w:val="20"/>
        </w:rPr>
        <w:t>s ante vulneraciones de la Ley.</w:t>
      </w:r>
    </w:p>
    <w:p w:rsidR="009A1D49" w:rsidRPr="009A7B45" w:rsidRDefault="006E7C94" w:rsidP="006E7C94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 w:rsidRPr="00F85DF5">
        <w:rPr>
          <w:rFonts w:eastAsia="Calibri" w:cs="Tahoma"/>
          <w:b/>
          <w:color w:val="365F91"/>
          <w:spacing w:val="0"/>
          <w:szCs w:val="20"/>
          <w:lang w:eastAsia="en-US"/>
        </w:rPr>
        <w:t xml:space="preserve">Establecer la obligación de reportar las reuniones y publicar las </w:t>
      </w:r>
      <w:r w:rsidR="008B2C61" w:rsidRPr="00F85DF5">
        <w:rPr>
          <w:rFonts w:eastAsia="Calibri" w:cs="Tahoma"/>
          <w:b/>
          <w:color w:val="365F91"/>
          <w:spacing w:val="0"/>
          <w:szCs w:val="20"/>
          <w:lang w:eastAsia="en-US"/>
        </w:rPr>
        <w:t>agendas</w:t>
      </w:r>
      <w:r w:rsidR="008B2C61" w:rsidRPr="006E7C94">
        <w:rPr>
          <w:szCs w:val="20"/>
        </w:rPr>
        <w:t xml:space="preserve"> de reuniones, documentos utilizados</w:t>
      </w:r>
      <w:r w:rsidR="00812588" w:rsidRPr="006E7C94">
        <w:rPr>
          <w:szCs w:val="20"/>
        </w:rPr>
        <w:t xml:space="preserve"> y compartidos en las reuniones.</w:t>
      </w:r>
      <w:r w:rsidR="009A7B45">
        <w:rPr>
          <w:szCs w:val="20"/>
        </w:rPr>
        <w:t>Las agendas se actualizarán con la información al menos 5 días antes de que se celebre la reunión o en su defecto 5 días después se publicará toda la información relativa a la misma (documentos compartidos, actas, etc).</w:t>
      </w:r>
    </w:p>
    <w:p w:rsidR="00E87584" w:rsidRDefault="004708F5" w:rsidP="00E87584">
      <w:pPr>
        <w:spacing w:after="0"/>
        <w:rPr>
          <w:szCs w:val="20"/>
        </w:rPr>
      </w:pPr>
      <w:r w:rsidRPr="00220A3D">
        <w:rPr>
          <w:szCs w:val="20"/>
        </w:rPr>
        <w:t xml:space="preserve">------ </w:t>
      </w:r>
    </w:p>
    <w:p w:rsidR="00FC3741" w:rsidRPr="00E87584" w:rsidRDefault="00AE4504" w:rsidP="00E87584">
      <w:pPr>
        <w:spacing w:after="0"/>
        <w:rPr>
          <w:szCs w:val="20"/>
        </w:rPr>
      </w:pPr>
      <w:r w:rsidRPr="00220A3D">
        <w:rPr>
          <w:i/>
          <w:szCs w:val="20"/>
        </w:rPr>
        <w:t>Acce</w:t>
      </w:r>
      <w:r w:rsidR="00CE7CE2">
        <w:rPr>
          <w:i/>
          <w:szCs w:val="20"/>
        </w:rPr>
        <w:t>ss Info Europe, 16</w:t>
      </w:r>
      <w:r w:rsidR="00220A3D" w:rsidRPr="00220A3D">
        <w:rPr>
          <w:i/>
          <w:szCs w:val="20"/>
        </w:rPr>
        <w:t xml:space="preserve"> marzo 2016</w:t>
      </w:r>
      <w:r w:rsidRPr="00220A3D">
        <w:rPr>
          <w:i/>
          <w:szCs w:val="20"/>
        </w:rPr>
        <w:t xml:space="preserve">. </w:t>
      </w:r>
    </w:p>
    <w:p w:rsidR="009755A7" w:rsidRPr="00220A3D" w:rsidRDefault="00220A3D" w:rsidP="00E87584">
      <w:pPr>
        <w:spacing w:after="0" w:line="276" w:lineRule="auto"/>
        <w:rPr>
          <w:szCs w:val="20"/>
        </w:rPr>
      </w:pPr>
      <w:r w:rsidRPr="00220A3D">
        <w:rPr>
          <w:szCs w:val="20"/>
        </w:rPr>
        <w:t>Para m</w:t>
      </w:r>
      <w:r>
        <w:rPr>
          <w:szCs w:val="20"/>
        </w:rPr>
        <w:t>ás información por favor contacta con:</w:t>
      </w:r>
    </w:p>
    <w:p w:rsidR="00BF4628" w:rsidRPr="00220A3D" w:rsidRDefault="00220A3D" w:rsidP="00E87584">
      <w:pPr>
        <w:spacing w:after="0" w:line="276" w:lineRule="auto"/>
        <w:rPr>
          <w:szCs w:val="20"/>
        </w:rPr>
      </w:pPr>
      <w:r w:rsidRPr="00220A3D">
        <w:rPr>
          <w:b/>
          <w:bCs/>
          <w:color w:val="366B95"/>
          <w:szCs w:val="20"/>
        </w:rPr>
        <w:t>Alba Gutiérrez</w:t>
      </w:r>
      <w:r w:rsidR="004919D9" w:rsidRPr="00220A3D">
        <w:rPr>
          <w:b/>
          <w:bCs/>
          <w:color w:val="366B95"/>
          <w:szCs w:val="20"/>
        </w:rPr>
        <w:t xml:space="preserve">, </w:t>
      </w:r>
      <w:r>
        <w:rPr>
          <w:szCs w:val="20"/>
        </w:rPr>
        <w:t>Investigadora y Coordinadora de cam</w:t>
      </w:r>
      <w:r w:rsidRPr="00220A3D">
        <w:rPr>
          <w:szCs w:val="20"/>
        </w:rPr>
        <w:t>pañas</w:t>
      </w:r>
      <w:r w:rsidR="00BF4628" w:rsidRPr="00220A3D">
        <w:rPr>
          <w:szCs w:val="20"/>
        </w:rPr>
        <w:br/>
      </w:r>
      <w:r w:rsidR="00BF4628" w:rsidRPr="00220A3D">
        <w:rPr>
          <w:b/>
          <w:bCs/>
          <w:szCs w:val="20"/>
        </w:rPr>
        <w:t>Access Info Europe |</w:t>
      </w:r>
      <w:hyperlink r:id="rId11" w:history="1">
        <w:r w:rsidR="00BF4628" w:rsidRPr="00220A3D">
          <w:rPr>
            <w:rStyle w:val="Hipervnculo"/>
            <w:szCs w:val="20"/>
          </w:rPr>
          <w:t>http://www.access-info.org</w:t>
        </w:r>
      </w:hyperlink>
      <w:r w:rsidR="00BF4628" w:rsidRPr="00220A3D">
        <w:rPr>
          <w:szCs w:val="20"/>
        </w:rPr>
        <w:br/>
      </w:r>
      <w:r w:rsidR="00BF4628" w:rsidRPr="00220A3D">
        <w:rPr>
          <w:rStyle w:val="nfasis"/>
        </w:rPr>
        <w:t>Phone:</w:t>
      </w:r>
      <w:r w:rsidR="00BF4628" w:rsidRPr="00220A3D">
        <w:rPr>
          <w:szCs w:val="20"/>
        </w:rPr>
        <w:t xml:space="preserve"> +34 913 656 558</w:t>
      </w:r>
      <w:r w:rsidR="004919D9" w:rsidRPr="00220A3D">
        <w:rPr>
          <w:szCs w:val="20"/>
        </w:rPr>
        <w:br/>
      </w:r>
      <w:r w:rsidR="004919D9" w:rsidRPr="00220A3D">
        <w:rPr>
          <w:i/>
          <w:szCs w:val="20"/>
        </w:rPr>
        <w:t>Email</w:t>
      </w:r>
      <w:r w:rsidR="004919D9" w:rsidRPr="00220A3D">
        <w:rPr>
          <w:szCs w:val="20"/>
        </w:rPr>
        <w:t xml:space="preserve">: </w:t>
      </w:r>
      <w:hyperlink r:id="rId12" w:history="1">
        <w:r w:rsidRPr="00220A3D">
          <w:rPr>
            <w:rStyle w:val="Hipervnculo"/>
            <w:szCs w:val="20"/>
          </w:rPr>
          <w:t>alba@access-info.org</w:t>
        </w:r>
      </w:hyperlink>
    </w:p>
    <w:sectPr w:rsidR="00BF4628" w:rsidRPr="00220A3D" w:rsidSect="00955488">
      <w:footerReference w:type="default" r:id="rId13"/>
      <w:pgSz w:w="11906" w:h="16838"/>
      <w:pgMar w:top="1440" w:right="1080" w:bottom="1440" w:left="108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506141" w15:done="0"/>
  <w15:commentEx w15:paraId="312F7377" w15:done="0"/>
  <w15:commentEx w15:paraId="5DD65AB8" w15:done="0"/>
  <w15:commentEx w15:paraId="57BED8E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19A" w:rsidRDefault="00F8419A">
      <w:pPr>
        <w:spacing w:after="0" w:line="240" w:lineRule="auto"/>
      </w:pPr>
      <w:r>
        <w:separator/>
      </w:r>
    </w:p>
  </w:endnote>
  <w:endnote w:type="continuationSeparator" w:id="1">
    <w:p w:rsidR="00F8419A" w:rsidRDefault="00F8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58843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2FEE" w:rsidRDefault="00E17548">
        <w:pPr>
          <w:pStyle w:val="Piedepgina"/>
          <w:jc w:val="center"/>
        </w:pPr>
        <w:r>
          <w:fldChar w:fldCharType="begin"/>
        </w:r>
        <w:r w:rsidR="00A12FEE">
          <w:instrText xml:space="preserve"> PAGE   \* MERGEFORMAT </w:instrText>
        </w:r>
        <w:r>
          <w:fldChar w:fldCharType="separate"/>
        </w:r>
        <w:r w:rsidR="00FC3B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2FEE" w:rsidRDefault="00A12FE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19A" w:rsidRDefault="00F841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F8419A" w:rsidRDefault="00F8419A">
      <w:pPr>
        <w:spacing w:after="0" w:line="240" w:lineRule="auto"/>
      </w:pPr>
      <w:r>
        <w:continuationSeparator/>
      </w:r>
    </w:p>
  </w:footnote>
  <w:footnote w:id="2">
    <w:p w:rsidR="00B26448" w:rsidRPr="00F9168B" w:rsidRDefault="00B26448" w:rsidP="00B26448">
      <w:pPr>
        <w:pStyle w:val="Textonotapie"/>
        <w:jc w:val="both"/>
        <w:rPr>
          <w:rFonts w:ascii="Calibri" w:hAnsi="Calibri"/>
        </w:rPr>
      </w:pPr>
      <w:r>
        <w:rPr>
          <w:rStyle w:val="Refdenotaalpie"/>
        </w:rPr>
        <w:footnoteRef/>
      </w:r>
      <w:r w:rsidRPr="00B26448">
        <w:rPr>
          <w:rFonts w:ascii="Tahoma" w:hAnsi="Tahoma" w:cs="Tahoma"/>
        </w:rPr>
        <w:t xml:space="preserve">Ley española se sitúa en el puesto 71 de los 102 países analizados a nivel mundial en el sistema de indicadores mundial RTI Rating </w:t>
      </w:r>
      <w:r w:rsidRPr="003D296C">
        <w:rPr>
          <w:rFonts w:ascii="Tahoma" w:hAnsi="Tahoma" w:cs="Tahoma"/>
        </w:rPr>
        <w:t>El RTI Rating es un sistema de indicadores elaborado conjuntamente entre “Centre For Law and Democracy” y “Access Info” y avalado por expertos internacionales en la materia de acceso a la información. Este sistema permite analizar y comparar la calidad de las leyes de acceso a la información de  cada país a la luz de los estándares de transparencia internacionales.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1189"/>
    <w:multiLevelType w:val="hybridMultilevel"/>
    <w:tmpl w:val="E58832D2"/>
    <w:lvl w:ilvl="0" w:tplc="09FA08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454BC"/>
    <w:multiLevelType w:val="hybridMultilevel"/>
    <w:tmpl w:val="27E01C3C"/>
    <w:lvl w:ilvl="0" w:tplc="4D1EE5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769E2"/>
    <w:multiLevelType w:val="hybridMultilevel"/>
    <w:tmpl w:val="7E66A4CE"/>
    <w:lvl w:ilvl="0" w:tplc="214CE9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212C2"/>
    <w:multiLevelType w:val="hybridMultilevel"/>
    <w:tmpl w:val="D892D6D8"/>
    <w:lvl w:ilvl="0" w:tplc="486A5A7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en Darbishire">
    <w15:presenceInfo w15:providerId="Windows Live" w15:userId="9016fb486ed8896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5A7"/>
    <w:rsid w:val="00016C7E"/>
    <w:rsid w:val="00025FDB"/>
    <w:rsid w:val="00054FEF"/>
    <w:rsid w:val="000566B8"/>
    <w:rsid w:val="000568EC"/>
    <w:rsid w:val="00073C71"/>
    <w:rsid w:val="00076B10"/>
    <w:rsid w:val="00082FE2"/>
    <w:rsid w:val="00092586"/>
    <w:rsid w:val="00092C9B"/>
    <w:rsid w:val="00093C18"/>
    <w:rsid w:val="000F121F"/>
    <w:rsid w:val="000F2603"/>
    <w:rsid w:val="00101261"/>
    <w:rsid w:val="00101C53"/>
    <w:rsid w:val="00101EDD"/>
    <w:rsid w:val="0012507E"/>
    <w:rsid w:val="00126C32"/>
    <w:rsid w:val="00136983"/>
    <w:rsid w:val="00153B28"/>
    <w:rsid w:val="00187507"/>
    <w:rsid w:val="00191EEB"/>
    <w:rsid w:val="00194990"/>
    <w:rsid w:val="001A337A"/>
    <w:rsid w:val="001B68E6"/>
    <w:rsid w:val="001C2F91"/>
    <w:rsid w:val="001E1BDC"/>
    <w:rsid w:val="001E24CC"/>
    <w:rsid w:val="001E3976"/>
    <w:rsid w:val="001E4D35"/>
    <w:rsid w:val="00204152"/>
    <w:rsid w:val="00212661"/>
    <w:rsid w:val="00212691"/>
    <w:rsid w:val="0021289D"/>
    <w:rsid w:val="00214DEF"/>
    <w:rsid w:val="00220A3D"/>
    <w:rsid w:val="00223130"/>
    <w:rsid w:val="00233E62"/>
    <w:rsid w:val="00245C80"/>
    <w:rsid w:val="00245D73"/>
    <w:rsid w:val="002925D5"/>
    <w:rsid w:val="00293E0F"/>
    <w:rsid w:val="002E09CD"/>
    <w:rsid w:val="00313A3A"/>
    <w:rsid w:val="00335C99"/>
    <w:rsid w:val="00343EE1"/>
    <w:rsid w:val="003613BF"/>
    <w:rsid w:val="00364EBF"/>
    <w:rsid w:val="00384A88"/>
    <w:rsid w:val="003B4AEF"/>
    <w:rsid w:val="003B70F2"/>
    <w:rsid w:val="003D296C"/>
    <w:rsid w:val="003D3ADA"/>
    <w:rsid w:val="003F2D0A"/>
    <w:rsid w:val="003F77F2"/>
    <w:rsid w:val="0040120A"/>
    <w:rsid w:val="00421C19"/>
    <w:rsid w:val="00421CF9"/>
    <w:rsid w:val="004377F8"/>
    <w:rsid w:val="0044335A"/>
    <w:rsid w:val="0044685B"/>
    <w:rsid w:val="00452552"/>
    <w:rsid w:val="00455F57"/>
    <w:rsid w:val="004708F5"/>
    <w:rsid w:val="00475549"/>
    <w:rsid w:val="004919D9"/>
    <w:rsid w:val="004B1A6C"/>
    <w:rsid w:val="004B3BBB"/>
    <w:rsid w:val="004D0729"/>
    <w:rsid w:val="004E7AF5"/>
    <w:rsid w:val="00507AE8"/>
    <w:rsid w:val="0052014E"/>
    <w:rsid w:val="00530514"/>
    <w:rsid w:val="0053238E"/>
    <w:rsid w:val="00533010"/>
    <w:rsid w:val="005337A0"/>
    <w:rsid w:val="00536DF5"/>
    <w:rsid w:val="00540069"/>
    <w:rsid w:val="00570D12"/>
    <w:rsid w:val="00571D9C"/>
    <w:rsid w:val="0057275E"/>
    <w:rsid w:val="00582779"/>
    <w:rsid w:val="00594FD7"/>
    <w:rsid w:val="00595723"/>
    <w:rsid w:val="0059591B"/>
    <w:rsid w:val="005B65D6"/>
    <w:rsid w:val="005D1F75"/>
    <w:rsid w:val="005F69D3"/>
    <w:rsid w:val="00626046"/>
    <w:rsid w:val="00636963"/>
    <w:rsid w:val="00643B4B"/>
    <w:rsid w:val="00645BFC"/>
    <w:rsid w:val="00655493"/>
    <w:rsid w:val="006710F6"/>
    <w:rsid w:val="0068604D"/>
    <w:rsid w:val="006A146A"/>
    <w:rsid w:val="006B0263"/>
    <w:rsid w:val="006E2C5D"/>
    <w:rsid w:val="006E7C94"/>
    <w:rsid w:val="00761DF7"/>
    <w:rsid w:val="00770839"/>
    <w:rsid w:val="0077364F"/>
    <w:rsid w:val="0078485C"/>
    <w:rsid w:val="007B671B"/>
    <w:rsid w:val="007D4A99"/>
    <w:rsid w:val="007F1992"/>
    <w:rsid w:val="007F77B9"/>
    <w:rsid w:val="00800119"/>
    <w:rsid w:val="008046D3"/>
    <w:rsid w:val="00812588"/>
    <w:rsid w:val="00821298"/>
    <w:rsid w:val="00841F6F"/>
    <w:rsid w:val="0085231A"/>
    <w:rsid w:val="00885809"/>
    <w:rsid w:val="008A6B4A"/>
    <w:rsid w:val="008B1615"/>
    <w:rsid w:val="008B1EE9"/>
    <w:rsid w:val="008B2C61"/>
    <w:rsid w:val="008E492A"/>
    <w:rsid w:val="008E5610"/>
    <w:rsid w:val="00907D0D"/>
    <w:rsid w:val="009146C6"/>
    <w:rsid w:val="00934CE9"/>
    <w:rsid w:val="009402AF"/>
    <w:rsid w:val="00955488"/>
    <w:rsid w:val="00963CD5"/>
    <w:rsid w:val="009755A7"/>
    <w:rsid w:val="009760CE"/>
    <w:rsid w:val="009A1D49"/>
    <w:rsid w:val="009A5C83"/>
    <w:rsid w:val="009A7B45"/>
    <w:rsid w:val="009B149C"/>
    <w:rsid w:val="009B242E"/>
    <w:rsid w:val="009C24A3"/>
    <w:rsid w:val="009D69E0"/>
    <w:rsid w:val="009E5BD8"/>
    <w:rsid w:val="009F4B2A"/>
    <w:rsid w:val="00A12FEE"/>
    <w:rsid w:val="00A604EB"/>
    <w:rsid w:val="00A67A9A"/>
    <w:rsid w:val="00A87306"/>
    <w:rsid w:val="00A94615"/>
    <w:rsid w:val="00A97456"/>
    <w:rsid w:val="00AD4D2E"/>
    <w:rsid w:val="00AE1DB6"/>
    <w:rsid w:val="00AE4504"/>
    <w:rsid w:val="00AF6D86"/>
    <w:rsid w:val="00B0553E"/>
    <w:rsid w:val="00B05785"/>
    <w:rsid w:val="00B06DBE"/>
    <w:rsid w:val="00B11507"/>
    <w:rsid w:val="00B24BD5"/>
    <w:rsid w:val="00B26448"/>
    <w:rsid w:val="00B441F0"/>
    <w:rsid w:val="00B53132"/>
    <w:rsid w:val="00B74473"/>
    <w:rsid w:val="00B93687"/>
    <w:rsid w:val="00BA469C"/>
    <w:rsid w:val="00BB4F8E"/>
    <w:rsid w:val="00BB66BA"/>
    <w:rsid w:val="00BB7429"/>
    <w:rsid w:val="00BE4DC5"/>
    <w:rsid w:val="00BE6B59"/>
    <w:rsid w:val="00BF4628"/>
    <w:rsid w:val="00BF5BCC"/>
    <w:rsid w:val="00C2364E"/>
    <w:rsid w:val="00C27340"/>
    <w:rsid w:val="00C30BFF"/>
    <w:rsid w:val="00C31062"/>
    <w:rsid w:val="00C354CB"/>
    <w:rsid w:val="00C5740E"/>
    <w:rsid w:val="00C91B2F"/>
    <w:rsid w:val="00CD7637"/>
    <w:rsid w:val="00CE1D13"/>
    <w:rsid w:val="00CE24A6"/>
    <w:rsid w:val="00CE7CE2"/>
    <w:rsid w:val="00CF1B8E"/>
    <w:rsid w:val="00CF69CA"/>
    <w:rsid w:val="00D27209"/>
    <w:rsid w:val="00D366C0"/>
    <w:rsid w:val="00D5426F"/>
    <w:rsid w:val="00D80BEB"/>
    <w:rsid w:val="00D83107"/>
    <w:rsid w:val="00DC20D4"/>
    <w:rsid w:val="00DC2DFF"/>
    <w:rsid w:val="00DF298C"/>
    <w:rsid w:val="00DF5B81"/>
    <w:rsid w:val="00E17548"/>
    <w:rsid w:val="00E33984"/>
    <w:rsid w:val="00E37D32"/>
    <w:rsid w:val="00E448DE"/>
    <w:rsid w:val="00E460C0"/>
    <w:rsid w:val="00E47CF9"/>
    <w:rsid w:val="00E73D80"/>
    <w:rsid w:val="00E75BDB"/>
    <w:rsid w:val="00E803AA"/>
    <w:rsid w:val="00E85F38"/>
    <w:rsid w:val="00E87584"/>
    <w:rsid w:val="00E912AE"/>
    <w:rsid w:val="00EB2E79"/>
    <w:rsid w:val="00EB31F4"/>
    <w:rsid w:val="00EB6B81"/>
    <w:rsid w:val="00ED0193"/>
    <w:rsid w:val="00ED0CE8"/>
    <w:rsid w:val="00ED1E57"/>
    <w:rsid w:val="00ED73B7"/>
    <w:rsid w:val="00EE08FF"/>
    <w:rsid w:val="00EF3455"/>
    <w:rsid w:val="00F02CD4"/>
    <w:rsid w:val="00F153EC"/>
    <w:rsid w:val="00F205BC"/>
    <w:rsid w:val="00F41276"/>
    <w:rsid w:val="00F41E5A"/>
    <w:rsid w:val="00F834DD"/>
    <w:rsid w:val="00F8419A"/>
    <w:rsid w:val="00F85DF5"/>
    <w:rsid w:val="00F912AC"/>
    <w:rsid w:val="00F9168B"/>
    <w:rsid w:val="00F948A6"/>
    <w:rsid w:val="00F9729A"/>
    <w:rsid w:val="00FC11C7"/>
    <w:rsid w:val="00FC3304"/>
    <w:rsid w:val="00FC3741"/>
    <w:rsid w:val="00FC3B65"/>
    <w:rsid w:val="00FD3AE4"/>
    <w:rsid w:val="00FE7679"/>
    <w:rsid w:val="00FF2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5488"/>
    <w:pPr>
      <w:suppressAutoHyphens/>
      <w:spacing w:line="300" w:lineRule="exact"/>
    </w:pPr>
    <w:rPr>
      <w:rFonts w:ascii="Verdana" w:eastAsia="Times New Roman" w:hAnsi="Verdana"/>
      <w:spacing w:val="-1"/>
      <w:sz w:val="20"/>
      <w:lang w:val="es-ES" w:eastAsia="es-ES"/>
    </w:rPr>
  </w:style>
  <w:style w:type="paragraph" w:styleId="Ttulo1">
    <w:name w:val="heading 1"/>
    <w:basedOn w:val="Normal"/>
    <w:next w:val="Normal"/>
    <w:rsid w:val="00955488"/>
    <w:pPr>
      <w:widowControl w:val="0"/>
      <w:autoSpaceDE w:val="0"/>
      <w:jc w:val="center"/>
      <w:outlineLvl w:val="0"/>
    </w:pPr>
    <w:rPr>
      <w:rFonts w:ascii="Trebuchet MS" w:hAnsi="Trebuchet MS" w:cs="Trebuchet MS"/>
      <w:b/>
      <w:bCs/>
      <w:color w:val="E3220E"/>
      <w:sz w:val="28"/>
      <w:szCs w:val="20"/>
    </w:rPr>
  </w:style>
  <w:style w:type="paragraph" w:styleId="Ttulo3">
    <w:name w:val="heading 3"/>
    <w:basedOn w:val="Normal"/>
    <w:next w:val="Normal"/>
    <w:rsid w:val="0095548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55488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rsid w:val="00955488"/>
    <w:rPr>
      <w:color w:val="0000FF"/>
      <w:u w:val="single"/>
    </w:rPr>
  </w:style>
  <w:style w:type="character" w:customStyle="1" w:styleId="Ttulo1Car">
    <w:name w:val="Título 1 Car"/>
    <w:basedOn w:val="Fuentedeprrafopredeter"/>
    <w:rsid w:val="00955488"/>
    <w:rPr>
      <w:rFonts w:ascii="Trebuchet MS" w:eastAsia="Times New Roman" w:hAnsi="Trebuchet MS" w:cs="Trebuchet MS"/>
      <w:b/>
      <w:bCs/>
      <w:color w:val="E3220E"/>
      <w:spacing w:val="-1"/>
      <w:sz w:val="28"/>
      <w:szCs w:val="20"/>
      <w:lang w:val="es-ES" w:eastAsia="es-ES"/>
    </w:rPr>
  </w:style>
  <w:style w:type="character" w:customStyle="1" w:styleId="normal10">
    <w:name w:val="normal10"/>
    <w:basedOn w:val="Fuentedeprrafopredeter"/>
    <w:rsid w:val="00955488"/>
  </w:style>
  <w:style w:type="character" w:styleId="Hipervnculovisitado">
    <w:name w:val="FollowedHyperlink"/>
    <w:basedOn w:val="Fuentedeprrafopredeter"/>
    <w:rsid w:val="00955488"/>
    <w:rPr>
      <w:color w:val="800080"/>
      <w:u w:val="single"/>
    </w:rPr>
  </w:style>
  <w:style w:type="character" w:customStyle="1" w:styleId="Ttulo3Car">
    <w:name w:val="Título 3 Car"/>
    <w:basedOn w:val="Fuentedeprrafopredeter"/>
    <w:rsid w:val="00955488"/>
    <w:rPr>
      <w:rFonts w:ascii="Cambria" w:eastAsia="Times New Roman" w:hAnsi="Cambria" w:cs="Times New Roman"/>
      <w:b/>
      <w:bCs/>
      <w:color w:val="4F81BD"/>
      <w:spacing w:val="-1"/>
      <w:sz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C33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330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3304"/>
    <w:rPr>
      <w:rFonts w:ascii="Verdana" w:eastAsia="Times New Roman" w:hAnsi="Verdana"/>
      <w:spacing w:val="-1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33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3304"/>
    <w:rPr>
      <w:rFonts w:ascii="Verdana" w:eastAsia="Times New Roman" w:hAnsi="Verdana"/>
      <w:b/>
      <w:bCs/>
      <w:spacing w:val="-1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304"/>
    <w:rPr>
      <w:rFonts w:ascii="Segoe UI" w:eastAsia="Times New Roman" w:hAnsi="Segoe UI" w:cs="Segoe UI"/>
      <w:spacing w:val="-1"/>
      <w:sz w:val="18"/>
      <w:szCs w:val="18"/>
      <w:lang w:val="es-ES" w:eastAsia="es-ES"/>
    </w:rPr>
  </w:style>
  <w:style w:type="character" w:customStyle="1" w:styleId="FootnoteChar">
    <w:name w:val="Footnote Char"/>
    <w:basedOn w:val="Fuentedeprrafopredeter"/>
    <w:link w:val="Footnote"/>
    <w:locked/>
    <w:rsid w:val="001A337A"/>
    <w:rPr>
      <w:rFonts w:ascii="Trebuchet MS" w:eastAsia="ヒラギノ角ゴ Pro W3" w:hAnsi="Trebuchet MS"/>
      <w:color w:val="000000"/>
    </w:rPr>
  </w:style>
  <w:style w:type="paragraph" w:customStyle="1" w:styleId="Footnote">
    <w:name w:val="Footnote"/>
    <w:link w:val="FootnoteChar"/>
    <w:qFormat/>
    <w:rsid w:val="001A337A"/>
    <w:pPr>
      <w:suppressAutoHyphens/>
      <w:autoSpaceDN/>
      <w:spacing w:after="0" w:line="260" w:lineRule="exact"/>
      <w:textAlignment w:val="auto"/>
    </w:pPr>
    <w:rPr>
      <w:rFonts w:ascii="Trebuchet MS" w:eastAsia="ヒラギノ角ゴ Pro W3" w:hAnsi="Trebuchet MS"/>
      <w:color w:val="000000"/>
    </w:rPr>
  </w:style>
  <w:style w:type="character" w:styleId="nfasis">
    <w:name w:val="Emphasis"/>
    <w:basedOn w:val="Fuentedeprrafopredeter"/>
    <w:uiPriority w:val="20"/>
    <w:qFormat/>
    <w:rsid w:val="00BF4628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1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FEE"/>
    <w:rPr>
      <w:rFonts w:ascii="Verdana" w:eastAsia="Times New Roman" w:hAnsi="Verdana"/>
      <w:spacing w:val="-1"/>
      <w:sz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1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FEE"/>
    <w:rPr>
      <w:rFonts w:ascii="Verdana" w:eastAsia="Times New Roman" w:hAnsi="Verdana"/>
      <w:spacing w:val="-1"/>
      <w:sz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296C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296C"/>
    <w:rPr>
      <w:rFonts w:ascii="Verdana" w:eastAsia="Times New Roman" w:hAnsi="Verdana"/>
      <w:spacing w:val="-1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D296C"/>
    <w:rPr>
      <w:vertAlign w:val="superscript"/>
    </w:rPr>
  </w:style>
  <w:style w:type="paragraph" w:styleId="Prrafodelista">
    <w:name w:val="List Paragraph"/>
    <w:basedOn w:val="Normal"/>
    <w:uiPriority w:val="34"/>
    <w:qFormat/>
    <w:rsid w:val="00214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ba@access-info.org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cess-info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obbyingtransparency.net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opendatacharter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82C0A19-3731-4381-BA46-D0D69B49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1834</Words>
  <Characters>10093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alicia</cp:lastModifiedBy>
  <cp:revision>2</cp:revision>
  <dcterms:created xsi:type="dcterms:W3CDTF">2016-03-17T15:50:00Z</dcterms:created>
  <dcterms:modified xsi:type="dcterms:W3CDTF">2016-03-17T15:50:00Z</dcterms:modified>
</cp:coreProperties>
</file>