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A7" w:rsidRPr="00B0553E" w:rsidRDefault="00EB2E79">
      <w:pPr>
        <w:spacing w:after="120" w:line="320" w:lineRule="exact"/>
      </w:pPr>
      <w:r w:rsidRPr="00643B4B">
        <w:rPr>
          <w:noProof/>
          <w:lang w:val="fr-LU" w:eastAsia="fr-L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4875525</wp:posOffset>
            </wp:positionH>
            <wp:positionV relativeFrom="margin">
              <wp:posOffset>-184151</wp:posOffset>
            </wp:positionV>
            <wp:extent cx="1310636" cy="1029330"/>
            <wp:effectExtent l="0" t="0" r="3814" b="0"/>
            <wp:wrapSquare wrapText="bothSides"/>
            <wp:docPr id="1" name="Imagen 1" descr="access-info_logo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636" cy="10293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B0553E">
        <w:rPr>
          <w:rFonts w:ascii="Trebuchet MS" w:hAnsi="Trebuchet MS"/>
          <w:color w:val="595959"/>
          <w:sz w:val="32"/>
          <w:szCs w:val="32"/>
        </w:rPr>
        <w:t xml:space="preserve">Access Info Europe </w:t>
      </w:r>
    </w:p>
    <w:p w:rsidR="009755A7" w:rsidRPr="00B0553E" w:rsidRDefault="00EB2E79">
      <w:pPr>
        <w:spacing w:after="120" w:line="320" w:lineRule="exact"/>
        <w:rPr>
          <w:rFonts w:ascii="Trebuchet MS" w:hAnsi="Trebuchet MS"/>
          <w:color w:val="595959"/>
        </w:rPr>
      </w:pPr>
      <w:r w:rsidRPr="00B0553E">
        <w:rPr>
          <w:rFonts w:ascii="Trebuchet MS" w:hAnsi="Trebuchet MS"/>
          <w:color w:val="595959"/>
        </w:rPr>
        <w:t>Cava de San Miguel 8, 4C</w:t>
      </w:r>
    </w:p>
    <w:p w:rsidR="00452552" w:rsidRPr="0044685B" w:rsidRDefault="00EB2E79" w:rsidP="00B0553E">
      <w:pPr>
        <w:spacing w:after="120" w:line="320" w:lineRule="exact"/>
        <w:rPr>
          <w:rFonts w:ascii="Trebuchet MS" w:hAnsi="Trebuchet MS"/>
          <w:color w:val="595959"/>
        </w:rPr>
      </w:pPr>
      <w:r w:rsidRPr="0044685B">
        <w:rPr>
          <w:rFonts w:ascii="Trebuchet MS" w:hAnsi="Trebuchet MS"/>
          <w:color w:val="595959"/>
        </w:rPr>
        <w:t>28005, Madrid</w:t>
      </w:r>
      <w:r w:rsidRPr="0044685B">
        <w:rPr>
          <w:rFonts w:ascii="Trebuchet MS" w:hAnsi="Trebuchet MS"/>
          <w:color w:val="595959"/>
        </w:rPr>
        <w:br/>
      </w:r>
    </w:p>
    <w:p w:rsidR="00452552" w:rsidRPr="0044685B" w:rsidRDefault="0044335A">
      <w:pPr>
        <w:jc w:val="right"/>
      </w:pPr>
      <w:r>
        <w:t>4</w:t>
      </w:r>
      <w:r w:rsidR="00F9168B" w:rsidRPr="0044685B">
        <w:t xml:space="preserve"> marzo 2016</w:t>
      </w:r>
    </w:p>
    <w:p w:rsidR="00B0553E" w:rsidRPr="0044685B" w:rsidRDefault="00B0553E" w:rsidP="0044335A">
      <w:pPr>
        <w:pStyle w:val="Ttulo1"/>
        <w:jc w:val="left"/>
      </w:pPr>
    </w:p>
    <w:p w:rsidR="00B0553E" w:rsidRPr="0044335A" w:rsidRDefault="001E1BDC" w:rsidP="0044335A">
      <w:pPr>
        <w:pStyle w:val="Ttulo1"/>
      </w:pPr>
      <w:r w:rsidRPr="001E1BDC">
        <w:t xml:space="preserve">Comentarios de Access Info Europe </w:t>
      </w:r>
      <w:r w:rsidR="003D296C">
        <w:t>a la Proposición de</w:t>
      </w:r>
      <w:r w:rsidRPr="001E1BDC">
        <w:t xml:space="preserve"> Ley de Transparencia y Buen Gobierno del PSOE de la Comunidad de Madrid</w:t>
      </w:r>
    </w:p>
    <w:p w:rsidR="003D296C" w:rsidRPr="003D296C" w:rsidRDefault="00B26448" w:rsidP="003D296C">
      <w:pPr>
        <w:jc w:val="both"/>
        <w:rPr>
          <w:szCs w:val="20"/>
        </w:rPr>
      </w:pPr>
      <w:r>
        <w:rPr>
          <w:szCs w:val="20"/>
        </w:rPr>
        <w:t xml:space="preserve">La Proposición de Ley del Grupo Parlamentario Socialista presentada en la Asamblea de la Comunidad de Madrid incluye importantes avances dentro del contexto </w:t>
      </w:r>
      <w:r w:rsidR="003D296C" w:rsidRPr="003D296C">
        <w:rPr>
          <w:szCs w:val="20"/>
        </w:rPr>
        <w:t xml:space="preserve">regulatorio </w:t>
      </w:r>
      <w:r>
        <w:rPr>
          <w:szCs w:val="20"/>
        </w:rPr>
        <w:t xml:space="preserve">de mínimos </w:t>
      </w:r>
      <w:r w:rsidR="003D296C" w:rsidRPr="003D296C">
        <w:rPr>
          <w:szCs w:val="20"/>
        </w:rPr>
        <w:t xml:space="preserve">que ofrece la Ley 19/2013 de Transparencia, Acceso a la Información Pública </w:t>
      </w:r>
      <w:r>
        <w:rPr>
          <w:szCs w:val="20"/>
        </w:rPr>
        <w:t>y Buen Gobierno a nivel estatal</w:t>
      </w:r>
      <w:r>
        <w:rPr>
          <w:rStyle w:val="Refdenotaalpie"/>
          <w:szCs w:val="20"/>
        </w:rPr>
        <w:footnoteReference w:id="2"/>
      </w:r>
      <w:r>
        <w:rPr>
          <w:szCs w:val="20"/>
        </w:rPr>
        <w:t>.</w:t>
      </w:r>
    </w:p>
    <w:p w:rsidR="003D296C" w:rsidRPr="003D296C" w:rsidRDefault="00B26448" w:rsidP="003D296C">
      <w:pPr>
        <w:jc w:val="both"/>
        <w:rPr>
          <w:szCs w:val="20"/>
        </w:rPr>
      </w:pPr>
      <w:r>
        <w:rPr>
          <w:szCs w:val="20"/>
        </w:rPr>
        <w:t xml:space="preserve">La </w:t>
      </w:r>
      <w:r w:rsidR="003D296C">
        <w:rPr>
          <w:szCs w:val="20"/>
        </w:rPr>
        <w:t>Presente Proposición de Ley</w:t>
      </w:r>
      <w:r w:rsidR="003D296C" w:rsidRPr="003D296C">
        <w:rPr>
          <w:szCs w:val="20"/>
        </w:rPr>
        <w:t xml:space="preserve"> incluye </w:t>
      </w:r>
      <w:r>
        <w:rPr>
          <w:szCs w:val="20"/>
        </w:rPr>
        <w:t>aspectos positivos</w:t>
      </w:r>
      <w:r w:rsidR="003D296C" w:rsidRPr="003D296C">
        <w:rPr>
          <w:szCs w:val="20"/>
        </w:rPr>
        <w:t xml:space="preserve"> especialmente en lo que se refiere a la ampliación de </w:t>
      </w:r>
      <w:r w:rsidR="003D296C">
        <w:rPr>
          <w:szCs w:val="20"/>
        </w:rPr>
        <w:t>los tipos de información que debe publicarse de forma proactiva</w:t>
      </w:r>
      <w:r w:rsidR="007F77B9">
        <w:rPr>
          <w:szCs w:val="20"/>
        </w:rPr>
        <w:t xml:space="preserve">, </w:t>
      </w:r>
      <w:r w:rsidR="003D296C" w:rsidRPr="003D296C">
        <w:rPr>
          <w:szCs w:val="20"/>
        </w:rPr>
        <w:t>al establecimiento de un régimen sancionador</w:t>
      </w:r>
      <w:r w:rsidR="007F77B9">
        <w:rPr>
          <w:szCs w:val="20"/>
        </w:rPr>
        <w:t xml:space="preserve"> ante el incumplimiento del derecho de acceso, o la </w:t>
      </w:r>
      <w:r w:rsidR="000568EC">
        <w:rPr>
          <w:szCs w:val="20"/>
        </w:rPr>
        <w:t>creación de un registro de transparencia obligatorio de personas que participan en la elaboración y aplicación de las políticas.</w:t>
      </w:r>
    </w:p>
    <w:p w:rsidR="00B26448" w:rsidRDefault="003D296C" w:rsidP="003D296C">
      <w:pPr>
        <w:jc w:val="both"/>
        <w:rPr>
          <w:szCs w:val="20"/>
        </w:rPr>
      </w:pPr>
      <w:r w:rsidRPr="003D296C">
        <w:rPr>
          <w:szCs w:val="20"/>
        </w:rPr>
        <w:t xml:space="preserve">Sin embargo, hay algunos aspectos de la presente ordenanza que consideramos </w:t>
      </w:r>
      <w:r w:rsidR="00533010">
        <w:rPr>
          <w:szCs w:val="20"/>
        </w:rPr>
        <w:t xml:space="preserve">preocupantes y </w:t>
      </w:r>
      <w:r w:rsidRPr="003D296C">
        <w:rPr>
          <w:szCs w:val="20"/>
        </w:rPr>
        <w:t xml:space="preserve">que pueden ser </w:t>
      </w:r>
      <w:r w:rsidRPr="002E09CD">
        <w:rPr>
          <w:szCs w:val="20"/>
        </w:rPr>
        <w:t>mejorados</w:t>
      </w:r>
      <w:r w:rsidR="00533010" w:rsidRPr="002E09CD">
        <w:rPr>
          <w:szCs w:val="20"/>
        </w:rPr>
        <w:t xml:space="preserve"> para generar un marco regulatorio más favorable al derecho de acceso a información. Entre estos aspectos </w:t>
      </w:r>
      <w:r w:rsidR="00B26448">
        <w:rPr>
          <w:szCs w:val="20"/>
        </w:rPr>
        <w:t>destacan especialmente:</w:t>
      </w:r>
    </w:p>
    <w:p w:rsidR="00B26448" w:rsidRDefault="00076B10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Un lenguaje</w:t>
      </w:r>
      <w:r w:rsidR="00B26448">
        <w:rPr>
          <w:szCs w:val="20"/>
        </w:rPr>
        <w:t xml:space="preserve"> poco enfocado a la ciudadanía y </w:t>
      </w:r>
      <w:r w:rsidR="00D80BEB">
        <w:rPr>
          <w:szCs w:val="20"/>
        </w:rPr>
        <w:t xml:space="preserve">al reconocimiento del derecho </w:t>
      </w:r>
      <w:r w:rsidR="00B26448">
        <w:rPr>
          <w:szCs w:val="20"/>
        </w:rPr>
        <w:t>más d</w:t>
      </w:r>
      <w:r>
        <w:rPr>
          <w:szCs w:val="20"/>
        </w:rPr>
        <w:t>irigido a las administraciones.</w:t>
      </w:r>
    </w:p>
    <w:p w:rsidR="00076B10" w:rsidRDefault="00076B10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Poco grado de detalle en la información que se publica de forma proactiva.</w:t>
      </w:r>
    </w:p>
    <w:p w:rsidR="00076B10" w:rsidRDefault="00076B10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Establecimiento de obligaciones en el ejercicio del derecho de acceso a información.</w:t>
      </w:r>
    </w:p>
    <w:p w:rsidR="00092C9B" w:rsidRDefault="00092C9B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El silencio administrativo negativo.</w:t>
      </w:r>
    </w:p>
    <w:p w:rsidR="001B68E6" w:rsidRDefault="001B68E6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Escaso compromiso con los datos abiertos y con el fomento de la reutilización de la información.</w:t>
      </w:r>
    </w:p>
    <w:p w:rsidR="00B26448" w:rsidRDefault="00B26448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N</w:t>
      </w:r>
      <w:r w:rsidR="00533010" w:rsidRPr="00B26448">
        <w:rPr>
          <w:szCs w:val="20"/>
        </w:rPr>
        <w:t>o existencia de plazos concretos para la publicación d</w:t>
      </w:r>
      <w:r>
        <w:rPr>
          <w:szCs w:val="20"/>
        </w:rPr>
        <w:t>e la información.</w:t>
      </w:r>
    </w:p>
    <w:p w:rsidR="003D296C" w:rsidRDefault="00B26448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Complejo </w:t>
      </w:r>
      <w:r w:rsidR="002E09CD" w:rsidRPr="00B26448">
        <w:rPr>
          <w:szCs w:val="20"/>
        </w:rPr>
        <w:t xml:space="preserve">sistema de identificación </w:t>
      </w:r>
      <w:r w:rsidR="00533010" w:rsidRPr="00B26448">
        <w:rPr>
          <w:szCs w:val="20"/>
        </w:rPr>
        <w:t>del solicitante</w:t>
      </w:r>
      <w:r w:rsidR="00076B10">
        <w:rPr>
          <w:szCs w:val="20"/>
        </w:rPr>
        <w:t xml:space="preserve"> de información</w:t>
      </w:r>
      <w:r w:rsidR="00582779" w:rsidRPr="00B26448">
        <w:rPr>
          <w:szCs w:val="20"/>
        </w:rPr>
        <w:t>.</w:t>
      </w:r>
    </w:p>
    <w:p w:rsidR="00076B10" w:rsidRDefault="00076B10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>Las causas de inadmisión están alejadas de los estándares internacionales.</w:t>
      </w:r>
    </w:p>
    <w:p w:rsidR="00076B10" w:rsidRPr="00B26448" w:rsidRDefault="00D80BEB" w:rsidP="00B26448">
      <w:pPr>
        <w:pStyle w:val="Prrafode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Ausencia de un </w:t>
      </w:r>
      <w:r w:rsidR="00092586">
        <w:rPr>
          <w:szCs w:val="20"/>
        </w:rPr>
        <w:t>organismo</w:t>
      </w:r>
      <w:r w:rsidR="00076B10">
        <w:rPr>
          <w:szCs w:val="20"/>
        </w:rPr>
        <w:t xml:space="preserve"> supervisor y sancionador independiente.</w:t>
      </w:r>
    </w:p>
    <w:p w:rsidR="00533010" w:rsidRDefault="00FD3AE4" w:rsidP="003D296C">
      <w:pPr>
        <w:jc w:val="both"/>
        <w:rPr>
          <w:szCs w:val="20"/>
        </w:rPr>
      </w:pPr>
      <w:r>
        <w:rPr>
          <w:szCs w:val="20"/>
        </w:rPr>
        <w:t>Desde Access Info Europe</w:t>
      </w:r>
      <w:r w:rsidR="00533010" w:rsidRPr="00533010">
        <w:rPr>
          <w:szCs w:val="20"/>
        </w:rPr>
        <w:t xml:space="preserve"> valoramos de forma muy positiva </w:t>
      </w:r>
      <w:r w:rsidR="00533010">
        <w:rPr>
          <w:szCs w:val="20"/>
        </w:rPr>
        <w:t xml:space="preserve">la consulta realizada por el Grupo Socialista de la Comunidad de </w:t>
      </w:r>
      <w:r w:rsidR="00533010" w:rsidRPr="00533010">
        <w:rPr>
          <w:szCs w:val="20"/>
        </w:rPr>
        <w:t xml:space="preserve">Madrid </w:t>
      </w:r>
      <w:r w:rsidR="00533010">
        <w:rPr>
          <w:szCs w:val="20"/>
        </w:rPr>
        <w:t>y esperamos</w:t>
      </w:r>
      <w:r w:rsidR="00533010" w:rsidRPr="00533010">
        <w:rPr>
          <w:szCs w:val="20"/>
        </w:rPr>
        <w:t xml:space="preserve"> que nuestros comentarios y sugerencias sean </w:t>
      </w:r>
      <w:r>
        <w:rPr>
          <w:szCs w:val="20"/>
        </w:rPr>
        <w:t>d</w:t>
      </w:r>
      <w:r w:rsidR="00533010" w:rsidRPr="00533010">
        <w:rPr>
          <w:szCs w:val="20"/>
        </w:rPr>
        <w:t>e utilidad y tenidos en cuenta.</w:t>
      </w:r>
    </w:p>
    <w:p w:rsidR="00F9168B" w:rsidRPr="00F9168B" w:rsidRDefault="003D296C" w:rsidP="00F9168B">
      <w:pPr>
        <w:jc w:val="both"/>
        <w:rPr>
          <w:szCs w:val="20"/>
        </w:rPr>
      </w:pPr>
      <w:r w:rsidRPr="003D296C">
        <w:rPr>
          <w:szCs w:val="20"/>
        </w:rPr>
        <w:lastRenderedPageBreak/>
        <w:t>A continuación, se resumen las p</w:t>
      </w:r>
      <w:r w:rsidR="00214DEF">
        <w:rPr>
          <w:szCs w:val="20"/>
        </w:rPr>
        <w:t>rincipales sugerencias</w:t>
      </w:r>
      <w:r w:rsidRPr="003D296C">
        <w:rPr>
          <w:szCs w:val="20"/>
        </w:rPr>
        <w:t>:</w:t>
      </w:r>
    </w:p>
    <w:p w:rsidR="00E87584" w:rsidRDefault="00E87584" w:rsidP="00F9168B">
      <w:pPr>
        <w:jc w:val="both"/>
        <w:rPr>
          <w:b/>
          <w:szCs w:val="20"/>
        </w:rPr>
      </w:pPr>
    </w:p>
    <w:p w:rsidR="00F9168B" w:rsidRPr="00F9168B" w:rsidRDefault="00A94615" w:rsidP="00F9168B">
      <w:pPr>
        <w:jc w:val="both"/>
        <w:rPr>
          <w:b/>
          <w:szCs w:val="20"/>
        </w:rPr>
      </w:pPr>
      <w:r>
        <w:rPr>
          <w:b/>
          <w:szCs w:val="20"/>
        </w:rPr>
        <w:t>Exposición de motivos y d</w:t>
      </w:r>
      <w:r w:rsidR="00E33984">
        <w:rPr>
          <w:b/>
          <w:szCs w:val="20"/>
        </w:rPr>
        <w:t>isposiciones generales</w:t>
      </w:r>
    </w:p>
    <w:p w:rsidR="00B0553E" w:rsidRPr="00220A3D" w:rsidRDefault="00025FDB" w:rsidP="008B1615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220A3D">
        <w:rPr>
          <w:b/>
          <w:szCs w:val="20"/>
        </w:rPr>
        <w:t>Establecimiento de</w:t>
      </w:r>
      <w:r w:rsidR="00214DEF" w:rsidRPr="00220A3D">
        <w:rPr>
          <w:b/>
          <w:szCs w:val="20"/>
        </w:rPr>
        <w:t xml:space="preserve"> definiciones </w:t>
      </w:r>
      <w:r w:rsidR="00421C19" w:rsidRPr="00220A3D">
        <w:rPr>
          <w:b/>
          <w:szCs w:val="20"/>
        </w:rPr>
        <w:t>y principios claramente favorables</w:t>
      </w:r>
      <w:r w:rsidR="00214DEF" w:rsidRPr="00220A3D">
        <w:rPr>
          <w:b/>
          <w:szCs w:val="20"/>
        </w:rPr>
        <w:t xml:space="preserve"> al derecho de acceso a información</w:t>
      </w:r>
      <w:r w:rsidR="00E33984" w:rsidRPr="00220A3D">
        <w:rPr>
          <w:b/>
          <w:szCs w:val="20"/>
        </w:rPr>
        <w:t xml:space="preserve"> por parte de los ciudadanos</w:t>
      </w:r>
      <w:r w:rsidR="00214DEF" w:rsidRPr="00220A3D">
        <w:rPr>
          <w:b/>
          <w:szCs w:val="20"/>
        </w:rPr>
        <w:t xml:space="preserve">. </w:t>
      </w:r>
      <w:r w:rsidR="008B1615" w:rsidRPr="00220A3D">
        <w:rPr>
          <w:szCs w:val="20"/>
        </w:rPr>
        <w:t>Desde Access Info Europe, consideramos que el lenguaje utilizado se orienta a instituciones y gestores públicos y e</w:t>
      </w:r>
      <w:r w:rsidR="00A94615" w:rsidRPr="00220A3D">
        <w:rPr>
          <w:szCs w:val="20"/>
        </w:rPr>
        <w:t xml:space="preserve">chamos en falta un lenguaje </w:t>
      </w:r>
      <w:r w:rsidR="008B1615" w:rsidRPr="00220A3D">
        <w:rPr>
          <w:szCs w:val="20"/>
        </w:rPr>
        <w:t xml:space="preserve">más centrado </w:t>
      </w:r>
      <w:r w:rsidR="00421C19" w:rsidRPr="00220A3D">
        <w:rPr>
          <w:szCs w:val="20"/>
        </w:rPr>
        <w:t xml:space="preserve">en los sujetos titulares del derecho y en su forma de ejercerlo, en el individuo como sujeto activo. Es decir, un lenguaje centrado </w:t>
      </w:r>
      <w:r w:rsidR="008B1615" w:rsidRPr="00220A3D">
        <w:rPr>
          <w:szCs w:val="20"/>
        </w:rPr>
        <w:t>en</w:t>
      </w:r>
      <w:r w:rsidR="00A94615" w:rsidRPr="00220A3D">
        <w:rPr>
          <w:szCs w:val="20"/>
        </w:rPr>
        <w:t xml:space="preserve"> la garantía del derecho de acceso a información </w:t>
      </w:r>
      <w:r w:rsidR="008B1615" w:rsidRPr="00220A3D">
        <w:rPr>
          <w:szCs w:val="20"/>
        </w:rPr>
        <w:t xml:space="preserve">así como en garantizar la transparencia, facilitar el control ciudadano de la actuación pública y fomentar la participación. </w:t>
      </w:r>
      <w:r w:rsidR="00421C19" w:rsidRPr="00220A3D">
        <w:rPr>
          <w:szCs w:val="20"/>
        </w:rPr>
        <w:t xml:space="preserve">En definitiva, establecer de forma clara e inequívoca que la Ley aporta un marco jurídico favorable a la transparencia como herramienta para facilitar el control de los poderes públicos y de las instituciones por parte de los ciudadanos y mejorar la calidad de la democracia. </w:t>
      </w:r>
      <w:r w:rsidR="008B1615" w:rsidRPr="00220A3D">
        <w:rPr>
          <w:szCs w:val="20"/>
        </w:rPr>
        <w:t>Un ejemplo de ello es que e</w:t>
      </w:r>
      <w:r w:rsidR="00E33984" w:rsidRPr="00220A3D">
        <w:rPr>
          <w:szCs w:val="20"/>
        </w:rPr>
        <w:t xml:space="preserve">n </w:t>
      </w:r>
      <w:r w:rsidR="00A94615" w:rsidRPr="00220A3D">
        <w:rPr>
          <w:szCs w:val="20"/>
        </w:rPr>
        <w:t>la actual exposición de motivos así como en las</w:t>
      </w:r>
      <w:r w:rsidR="008B1615" w:rsidRPr="00220A3D">
        <w:rPr>
          <w:szCs w:val="20"/>
        </w:rPr>
        <w:t xml:space="preserve"> definiciones, </w:t>
      </w:r>
      <w:r w:rsidR="00A94615" w:rsidRPr="00220A3D">
        <w:rPr>
          <w:szCs w:val="20"/>
        </w:rPr>
        <w:t xml:space="preserve">los </w:t>
      </w:r>
      <w:r w:rsidR="00E33984" w:rsidRPr="00220A3D">
        <w:rPr>
          <w:szCs w:val="20"/>
        </w:rPr>
        <w:t xml:space="preserve">principios </w:t>
      </w:r>
      <w:r w:rsidR="00A94615" w:rsidRPr="00220A3D">
        <w:rPr>
          <w:szCs w:val="20"/>
        </w:rPr>
        <w:t xml:space="preserve">de la Ley </w:t>
      </w:r>
      <w:r w:rsidR="008B1615" w:rsidRPr="00220A3D">
        <w:rPr>
          <w:szCs w:val="20"/>
        </w:rPr>
        <w:t xml:space="preserve">y en el título II sobre información que debe ser publicada de forma proactiva </w:t>
      </w:r>
      <w:r w:rsidR="00E33984" w:rsidRPr="00220A3D">
        <w:rPr>
          <w:szCs w:val="20"/>
        </w:rPr>
        <w:t xml:space="preserve">no se menciona </w:t>
      </w:r>
      <w:r w:rsidR="00A87306" w:rsidRPr="00220A3D">
        <w:rPr>
          <w:szCs w:val="20"/>
        </w:rPr>
        <w:t xml:space="preserve">el </w:t>
      </w:r>
      <w:r w:rsidR="00A94615" w:rsidRPr="00220A3D">
        <w:rPr>
          <w:szCs w:val="20"/>
        </w:rPr>
        <w:t>acceso a informaci</w:t>
      </w:r>
      <w:r w:rsidR="008B1615" w:rsidRPr="00220A3D">
        <w:rPr>
          <w:szCs w:val="20"/>
        </w:rPr>
        <w:t>ón como un derecho. Consideramos que el lenguaje que se utiliza en las exposiciones de motivos y en el articulado tiene implicaciones claras a la hora de la implementación y aplicación e interpretación de las Leyes</w:t>
      </w:r>
      <w:r w:rsidR="00421C19" w:rsidRPr="00220A3D">
        <w:rPr>
          <w:szCs w:val="20"/>
        </w:rPr>
        <w:t>. E</w:t>
      </w:r>
      <w:r w:rsidR="008B1615" w:rsidRPr="00220A3D">
        <w:rPr>
          <w:szCs w:val="20"/>
        </w:rPr>
        <w:t>n muchos casos</w:t>
      </w:r>
      <w:r w:rsidR="00421C19" w:rsidRPr="00220A3D">
        <w:rPr>
          <w:szCs w:val="20"/>
        </w:rPr>
        <w:t>, una exposición de motivos facilita a</w:t>
      </w:r>
      <w:r w:rsidR="008B1615" w:rsidRPr="00220A3D">
        <w:rPr>
          <w:szCs w:val="20"/>
        </w:rPr>
        <w:t xml:space="preserve"> abogados, fiscales y jueces </w:t>
      </w:r>
      <w:r w:rsidR="00421C19" w:rsidRPr="00220A3D">
        <w:rPr>
          <w:szCs w:val="20"/>
        </w:rPr>
        <w:t xml:space="preserve">realizar una interpretaciónfavorable a los derechos </w:t>
      </w:r>
      <w:r w:rsidR="008B1615" w:rsidRPr="00220A3D">
        <w:rPr>
          <w:szCs w:val="20"/>
        </w:rPr>
        <w:t>la Ley</w:t>
      </w:r>
      <w:r w:rsidR="00421C19" w:rsidRPr="00220A3D">
        <w:rPr>
          <w:szCs w:val="20"/>
        </w:rPr>
        <w:t xml:space="preserve">. </w:t>
      </w:r>
      <w:r w:rsidR="008B1615" w:rsidRPr="00220A3D">
        <w:rPr>
          <w:szCs w:val="20"/>
        </w:rPr>
        <w:t>por ello animamos a que se integre en mayor medida el enfoque del derecho de acceso a la información.</w:t>
      </w:r>
    </w:p>
    <w:p w:rsidR="001C2F91" w:rsidRDefault="009A1D49" w:rsidP="009A1D49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 xml:space="preserve">Mayor detalle y concreción en los plazos </w:t>
      </w:r>
      <w:r w:rsidR="00885809">
        <w:rPr>
          <w:b/>
          <w:szCs w:val="20"/>
        </w:rPr>
        <w:t>para publicar información y de actualización de la misma</w:t>
      </w:r>
      <w:r>
        <w:rPr>
          <w:b/>
          <w:szCs w:val="20"/>
        </w:rPr>
        <w:t xml:space="preserve">. </w:t>
      </w:r>
      <w:r w:rsidRPr="009A1D49">
        <w:rPr>
          <w:szCs w:val="20"/>
        </w:rPr>
        <w:t>Si, tal y como establece la exposición de motivos de la Ley, se quiere que la transparencia y el acceso a información sirvan para facilitar un mayor control de la actividad pública y responder a las demandas de la sociedad civil de mayor participaci</w:t>
      </w:r>
      <w:r w:rsidR="00E85F38">
        <w:rPr>
          <w:szCs w:val="20"/>
        </w:rPr>
        <w:t xml:space="preserve">ón, unos plazos breves y </w:t>
      </w:r>
      <w:r w:rsidRPr="009A1D49">
        <w:rPr>
          <w:szCs w:val="20"/>
        </w:rPr>
        <w:t xml:space="preserve">predecibles es fundamental. La Ley alude en varios artículos a </w:t>
      </w:r>
      <w:r w:rsidR="001C2F91" w:rsidRPr="009A1D49">
        <w:rPr>
          <w:szCs w:val="20"/>
        </w:rPr>
        <w:t xml:space="preserve">que se </w:t>
      </w:r>
      <w:r w:rsidRPr="009A1D49">
        <w:rPr>
          <w:szCs w:val="20"/>
        </w:rPr>
        <w:t>mantendrá actualizada la información</w:t>
      </w:r>
      <w:r w:rsidR="001C2F91" w:rsidRPr="009A1D49">
        <w:rPr>
          <w:szCs w:val="20"/>
        </w:rPr>
        <w:t xml:space="preserve"> pero no se habla de plazos concretos</w:t>
      </w:r>
      <w:r>
        <w:rPr>
          <w:szCs w:val="20"/>
        </w:rPr>
        <w:t xml:space="preserve">. Proponemos que en general se establezca la obligación de publicar y actualizar la información de manera trimestral como </w:t>
      </w:r>
      <w:r w:rsidRPr="009A1D49">
        <w:rPr>
          <w:szCs w:val="20"/>
        </w:rPr>
        <w:t>m</w:t>
      </w:r>
      <w:r>
        <w:rPr>
          <w:szCs w:val="20"/>
        </w:rPr>
        <w:t xml:space="preserve">ínimo, </w:t>
      </w:r>
      <w:r w:rsidRPr="009A1D49">
        <w:rPr>
          <w:szCs w:val="20"/>
        </w:rPr>
        <w:t>salvo que se establezcan plazos más breves de actualización y publicación.</w:t>
      </w:r>
    </w:p>
    <w:p w:rsidR="001C2F91" w:rsidRDefault="00E85F38" w:rsidP="00E85F38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>Reutilización de la información</w:t>
      </w:r>
      <w:r w:rsidR="001C2F91">
        <w:rPr>
          <w:b/>
          <w:szCs w:val="20"/>
        </w:rPr>
        <w:t xml:space="preserve">. </w:t>
      </w:r>
      <w:r w:rsidRPr="00E85F38">
        <w:rPr>
          <w:szCs w:val="20"/>
        </w:rPr>
        <w:t>Es muy positivo que se recoja en</w:t>
      </w:r>
      <w:r w:rsidR="001C2F91" w:rsidRPr="00E85F38">
        <w:rPr>
          <w:szCs w:val="20"/>
        </w:rPr>
        <w:t xml:space="preserve"> el artículo 6 F la reutilización de la información como uno de los principios informadores. </w:t>
      </w:r>
      <w:r w:rsidRPr="00E85F38">
        <w:rPr>
          <w:szCs w:val="20"/>
        </w:rPr>
        <w:t>Sin embargo, e</w:t>
      </w:r>
      <w:r w:rsidR="001C2F91" w:rsidRPr="00E85F38">
        <w:rPr>
          <w:szCs w:val="20"/>
        </w:rPr>
        <w:t>ste aspecto no vuelve a ser mencionado</w:t>
      </w:r>
      <w:r w:rsidRPr="00E85F38">
        <w:rPr>
          <w:szCs w:val="20"/>
        </w:rPr>
        <w:t xml:space="preserve"> y hay varios tipos de información a lo largo del articulado en los que establecer esta obligación supondría una gran diferencia en cuanto al acceso efectivo a la información por parte de los ciudadanos. Al respecto, </w:t>
      </w:r>
      <w:r w:rsidR="00092C9B">
        <w:rPr>
          <w:szCs w:val="20"/>
        </w:rPr>
        <w:t xml:space="preserve">debe añadirse la obligación de publicar en datos abiertos y reutilizables y </w:t>
      </w:r>
      <w:r w:rsidRPr="00E85F38">
        <w:rPr>
          <w:szCs w:val="20"/>
        </w:rPr>
        <w:t xml:space="preserve">se recomienda la Adhesión de la Comunidad de Madrid a la iniciativa internacional de la Carta de Datos Abiertos de la que ya son miembros varios Gobiernos tanto nacionales como subnaccionales. </w:t>
      </w:r>
      <w:hyperlink r:id="rId9" w:history="1">
        <w:r w:rsidRPr="00E85F38">
          <w:rPr>
            <w:rStyle w:val="Hipervnculo"/>
            <w:szCs w:val="20"/>
          </w:rPr>
          <w:t>http://opendatacharter.net/</w:t>
        </w:r>
      </w:hyperlink>
    </w:p>
    <w:p w:rsidR="008E5610" w:rsidRDefault="004B1A6C" w:rsidP="00076B10">
      <w:pPr>
        <w:pStyle w:val="Prrafodelista"/>
        <w:numPr>
          <w:ilvl w:val="0"/>
          <w:numId w:val="1"/>
        </w:numPr>
        <w:jc w:val="both"/>
        <w:rPr>
          <w:szCs w:val="20"/>
        </w:rPr>
      </w:pPr>
      <w:r>
        <w:rPr>
          <w:b/>
          <w:szCs w:val="20"/>
        </w:rPr>
        <w:t>No limitar</w:t>
      </w:r>
      <w:r w:rsidRPr="004B1A6C">
        <w:rPr>
          <w:szCs w:val="20"/>
        </w:rPr>
        <w:t>e</w:t>
      </w:r>
      <w:r w:rsidRPr="004B1A6C">
        <w:rPr>
          <w:b/>
          <w:szCs w:val="20"/>
        </w:rPr>
        <w:t>l concepto de “obligación de transparencia” a la</w:t>
      </w:r>
      <w:r>
        <w:rPr>
          <w:b/>
          <w:szCs w:val="20"/>
        </w:rPr>
        <w:t xml:space="preserve"> publicación proactiva</w:t>
      </w:r>
      <w:r w:rsidR="00076B10" w:rsidRPr="00076B10">
        <w:rPr>
          <w:szCs w:val="20"/>
        </w:rPr>
        <w:t xml:space="preserve">A pesar de que la Proposición de Ley incluye una definición de Información acorde con los estándares internacionales en el artículo 5, términos confusos utilizados a lo </w:t>
      </w:r>
      <w:r w:rsidRPr="00076B10">
        <w:rPr>
          <w:szCs w:val="20"/>
        </w:rPr>
        <w:t>largo</w:t>
      </w:r>
      <w:r w:rsidR="00076B10" w:rsidRPr="00076B10">
        <w:rPr>
          <w:szCs w:val="20"/>
        </w:rPr>
        <w:t xml:space="preserve"> del articulado, limitan la ambición de la Ley</w:t>
      </w:r>
      <w:r>
        <w:rPr>
          <w:szCs w:val="20"/>
        </w:rPr>
        <w:t>.</w:t>
      </w:r>
      <w:r w:rsidR="00F153EC" w:rsidRPr="00F153EC">
        <w:rPr>
          <w:szCs w:val="20"/>
        </w:rPr>
        <w:t xml:space="preserve">Consideramos que </w:t>
      </w:r>
      <w:r w:rsidR="00F153EC">
        <w:rPr>
          <w:szCs w:val="20"/>
        </w:rPr>
        <w:t xml:space="preserve">conceptos y </w:t>
      </w:r>
      <w:r w:rsidR="00F153EC">
        <w:rPr>
          <w:szCs w:val="20"/>
        </w:rPr>
        <w:lastRenderedPageBreak/>
        <w:t xml:space="preserve">términos como obligación de transparencia </w:t>
      </w:r>
      <w:r w:rsidR="00F153EC" w:rsidRPr="00F153EC">
        <w:rPr>
          <w:i/>
          <w:szCs w:val="20"/>
        </w:rPr>
        <w:t>de su actividad pública o información pública sujeta a la obligación de transparencia</w:t>
      </w:r>
      <w:r w:rsidR="00B06DBE" w:rsidRPr="00F153EC">
        <w:rPr>
          <w:szCs w:val="20"/>
        </w:rPr>
        <w:t>presente</w:t>
      </w:r>
      <w:r w:rsidR="00F153EC">
        <w:rPr>
          <w:szCs w:val="20"/>
        </w:rPr>
        <w:t>s</w:t>
      </w:r>
      <w:r w:rsidR="00B06DBE" w:rsidRPr="00F153EC">
        <w:rPr>
          <w:szCs w:val="20"/>
        </w:rPr>
        <w:t xml:space="preserve"> entre otros en el artículo 7</w:t>
      </w:r>
      <w:r w:rsidR="00F153EC" w:rsidRPr="00F153EC">
        <w:rPr>
          <w:szCs w:val="20"/>
        </w:rPr>
        <w:t>,</w:t>
      </w:r>
      <w:r w:rsidR="00F153EC">
        <w:rPr>
          <w:szCs w:val="20"/>
        </w:rPr>
        <w:t xml:space="preserve"> no son</w:t>
      </w:r>
      <w:r w:rsidR="00B06DBE" w:rsidRPr="00F153EC">
        <w:rPr>
          <w:szCs w:val="20"/>
        </w:rPr>
        <w:t xml:space="preserve"> compatible</w:t>
      </w:r>
      <w:r w:rsidR="00076B10">
        <w:rPr>
          <w:szCs w:val="20"/>
        </w:rPr>
        <w:t>s</w:t>
      </w:r>
      <w:r w:rsidR="00B06DBE" w:rsidRPr="00F153EC">
        <w:rPr>
          <w:szCs w:val="20"/>
        </w:rPr>
        <w:t xml:space="preserve"> con la definición de información que se establece en el art</w:t>
      </w:r>
      <w:r w:rsidR="00F153EC">
        <w:rPr>
          <w:szCs w:val="20"/>
        </w:rPr>
        <w:t>ículo 5</w:t>
      </w:r>
      <w:r w:rsidR="00B06DBE" w:rsidRPr="00F153EC">
        <w:rPr>
          <w:szCs w:val="20"/>
        </w:rPr>
        <w:t>b</w:t>
      </w:r>
      <w:r w:rsidR="00F153EC">
        <w:rPr>
          <w:szCs w:val="20"/>
        </w:rPr>
        <w:t>).</w:t>
      </w:r>
      <w:r w:rsidR="00B06DBE" w:rsidRPr="00F153EC">
        <w:rPr>
          <w:szCs w:val="20"/>
        </w:rPr>
        <w:t xml:space="preserve"> ni con el </w:t>
      </w:r>
      <w:r w:rsidR="00F153EC" w:rsidRPr="00F153EC">
        <w:rPr>
          <w:szCs w:val="20"/>
        </w:rPr>
        <w:t>principio de libre acceso a información del artículo</w:t>
      </w:r>
      <w:r w:rsidR="00B06DBE" w:rsidRPr="00F153EC">
        <w:rPr>
          <w:szCs w:val="20"/>
        </w:rPr>
        <w:t xml:space="preserve"> 6b</w:t>
      </w:r>
      <w:r w:rsidR="00F153EC">
        <w:rPr>
          <w:szCs w:val="20"/>
        </w:rPr>
        <w:t>)</w:t>
      </w:r>
      <w:r w:rsidR="00B06DBE" w:rsidRPr="00F153EC">
        <w:rPr>
          <w:szCs w:val="20"/>
        </w:rPr>
        <w:t xml:space="preserve">. </w:t>
      </w:r>
      <w:r w:rsidR="00F153EC" w:rsidRPr="00F153EC">
        <w:rPr>
          <w:szCs w:val="20"/>
        </w:rPr>
        <w:t>Si t</w:t>
      </w:r>
      <w:r w:rsidR="00B06DBE" w:rsidRPr="00F153EC">
        <w:rPr>
          <w:szCs w:val="20"/>
        </w:rPr>
        <w:t xml:space="preserve">oda la información </w:t>
      </w:r>
      <w:r w:rsidR="00245C80">
        <w:rPr>
          <w:szCs w:val="20"/>
        </w:rPr>
        <w:t xml:space="preserve">en manos entidades públicas </w:t>
      </w:r>
      <w:r w:rsidR="00F153EC" w:rsidRPr="00F153EC">
        <w:rPr>
          <w:szCs w:val="20"/>
        </w:rPr>
        <w:t xml:space="preserve">es en principio accesible, </w:t>
      </w:r>
      <w:r w:rsidR="00F153EC">
        <w:rPr>
          <w:szCs w:val="20"/>
        </w:rPr>
        <w:t xml:space="preserve">no tiene sentido que la obligación de transparencia aluda a </w:t>
      </w:r>
      <w:r w:rsidR="00245C80">
        <w:rPr>
          <w:szCs w:val="20"/>
        </w:rPr>
        <w:t xml:space="preserve">ciertos aspectos de </w:t>
      </w:r>
      <w:r w:rsidR="00076B10">
        <w:rPr>
          <w:szCs w:val="20"/>
        </w:rPr>
        <w:t xml:space="preserve">su actividad. </w:t>
      </w:r>
      <w:r w:rsidR="00F153EC">
        <w:rPr>
          <w:szCs w:val="20"/>
        </w:rPr>
        <w:t xml:space="preserve">Por tanto, proponemos </w:t>
      </w:r>
      <w:r w:rsidR="00076B10">
        <w:rPr>
          <w:szCs w:val="20"/>
        </w:rPr>
        <w:t xml:space="preserve">revisar los términos que se utilizan a lo largo de la Ley para </w:t>
      </w:r>
      <w:r>
        <w:rPr>
          <w:szCs w:val="20"/>
        </w:rPr>
        <w:t>adecuarlos a la definición de información y a los estándares internacionales.</w:t>
      </w:r>
    </w:p>
    <w:p w:rsidR="008E5610" w:rsidRDefault="008E5610" w:rsidP="008E5610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8E5610">
        <w:rPr>
          <w:b/>
          <w:szCs w:val="20"/>
        </w:rPr>
        <w:t>Incluir el derecho a reclamar de las perso</w:t>
      </w:r>
      <w:r w:rsidR="006A146A">
        <w:rPr>
          <w:b/>
          <w:szCs w:val="20"/>
        </w:rPr>
        <w:t xml:space="preserve">nas. </w:t>
      </w:r>
      <w:r w:rsidR="006A146A" w:rsidRPr="006A146A">
        <w:rPr>
          <w:szCs w:val="20"/>
        </w:rPr>
        <w:t>El actual artículo 8 debería incluir el derecho de las personas a reclamar ante la resolución de una solicitud de acceso a información.</w:t>
      </w:r>
    </w:p>
    <w:p w:rsidR="003B4AEF" w:rsidRPr="003B4AEF" w:rsidRDefault="009402AF" w:rsidP="00F9168B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3B4AEF">
        <w:rPr>
          <w:b/>
          <w:szCs w:val="20"/>
        </w:rPr>
        <w:t xml:space="preserve">Eliminar las obligaciones de las personas en el ejercicio del derecho de acceso a información. </w:t>
      </w:r>
      <w:r w:rsidRPr="003B4AEF">
        <w:rPr>
          <w:szCs w:val="20"/>
        </w:rPr>
        <w:t xml:space="preserve">Resulta inverosímil que se establezcan obligaciones </w:t>
      </w:r>
      <w:r w:rsidR="003B4AEF" w:rsidRPr="003B4AEF">
        <w:rPr>
          <w:szCs w:val="20"/>
        </w:rPr>
        <w:t xml:space="preserve">a las personas que ejerzan su derecho de acceso a información, </w:t>
      </w:r>
      <w:r w:rsidR="003B4AEF">
        <w:rPr>
          <w:szCs w:val="20"/>
        </w:rPr>
        <w:t xml:space="preserve">además de no estar en línea con los estándares internacionales, </w:t>
      </w:r>
      <w:r w:rsidR="003B4AEF" w:rsidRPr="003B4AEF">
        <w:rPr>
          <w:szCs w:val="20"/>
        </w:rPr>
        <w:t>se está presuponiendo que se va a ejercer el derecho de acceso de forma irrespon</w:t>
      </w:r>
      <w:r w:rsidR="000566B8">
        <w:rPr>
          <w:szCs w:val="20"/>
        </w:rPr>
        <w:t>sable, si se quieren evitar la solicitudes que sean manifiestamente repetitivas o tengan carácter abusivo, esto ya se encuentra entra las causas de inadmisión del artículo 44.</w:t>
      </w:r>
      <w:r w:rsidRPr="003B4AEF">
        <w:rPr>
          <w:szCs w:val="20"/>
        </w:rPr>
        <w:t>T</w:t>
      </w:r>
      <w:r w:rsidR="006A146A" w:rsidRPr="003B4AEF">
        <w:rPr>
          <w:szCs w:val="20"/>
        </w:rPr>
        <w:t xml:space="preserve">oda solicitud de acceso a información conlleva </w:t>
      </w:r>
      <w:r w:rsidR="003B4AEF" w:rsidRPr="003B4AEF">
        <w:rPr>
          <w:szCs w:val="20"/>
        </w:rPr>
        <w:t xml:space="preserve">necesidad de dedicación y </w:t>
      </w:r>
      <w:r w:rsidR="006A146A" w:rsidRPr="003B4AEF">
        <w:rPr>
          <w:szCs w:val="20"/>
        </w:rPr>
        <w:t>retos en la eficacia del funcionami</w:t>
      </w:r>
      <w:r w:rsidR="003B4AEF" w:rsidRPr="003B4AEF">
        <w:rPr>
          <w:szCs w:val="20"/>
        </w:rPr>
        <w:t>ento de los servicios público, sin embargo,</w:t>
      </w:r>
      <w:r w:rsidR="006A146A" w:rsidRPr="003B4AEF">
        <w:rPr>
          <w:szCs w:val="20"/>
        </w:rPr>
        <w:t xml:space="preserve"> la responsabilidad de dicha eficacia no puede recaer en </w:t>
      </w:r>
      <w:r w:rsidR="00BA469C" w:rsidRPr="003B4AEF">
        <w:rPr>
          <w:szCs w:val="20"/>
        </w:rPr>
        <w:t>la persona</w:t>
      </w:r>
      <w:r w:rsidR="006A146A" w:rsidRPr="003B4AEF">
        <w:rPr>
          <w:szCs w:val="20"/>
        </w:rPr>
        <w:t xml:space="preserve"> que está ejerciendo un derecho. </w:t>
      </w:r>
      <w:r w:rsidR="003B4AEF" w:rsidRPr="003B4AEF">
        <w:rPr>
          <w:szCs w:val="20"/>
        </w:rPr>
        <w:t>Si la administración tarda en buscar la información que le ha sido requerida por las personas, no es responsabilidad de la persona sino de la organización de la administración</w:t>
      </w:r>
      <w:r w:rsidR="003B4AEF">
        <w:rPr>
          <w:szCs w:val="20"/>
        </w:rPr>
        <w:t>. Por ello proponemos la eliminación del punto 2 del artículo 8.</w:t>
      </w:r>
    </w:p>
    <w:p w:rsidR="00F9168B" w:rsidRPr="003B4AEF" w:rsidRDefault="00F9168B" w:rsidP="003B4AEF">
      <w:pPr>
        <w:jc w:val="both"/>
        <w:rPr>
          <w:b/>
          <w:szCs w:val="20"/>
        </w:rPr>
      </w:pPr>
      <w:r w:rsidRPr="003B4AEF">
        <w:rPr>
          <w:b/>
          <w:szCs w:val="20"/>
        </w:rPr>
        <w:t>Información sujeta a publicación proactiva</w:t>
      </w:r>
    </w:p>
    <w:p w:rsidR="001C2F91" w:rsidRPr="00E33984" w:rsidRDefault="000F121F" w:rsidP="00645BFC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0F121F">
        <w:rPr>
          <w:b/>
          <w:szCs w:val="20"/>
        </w:rPr>
        <w:t>Matizar la a</w:t>
      </w:r>
      <w:r w:rsidR="001C2F91" w:rsidRPr="000F121F">
        <w:rPr>
          <w:b/>
          <w:szCs w:val="20"/>
        </w:rPr>
        <w:t xml:space="preserve">mbigüedad del </w:t>
      </w:r>
      <w:r w:rsidR="00E33984" w:rsidRPr="000F121F">
        <w:rPr>
          <w:b/>
          <w:szCs w:val="20"/>
        </w:rPr>
        <w:t>concepto “información relevante o información de mayor relevancia”</w:t>
      </w:r>
      <w:r w:rsidR="00E33984" w:rsidRPr="000F121F">
        <w:rPr>
          <w:szCs w:val="20"/>
        </w:rPr>
        <w:t xml:space="preserve"> utilizado</w:t>
      </w:r>
      <w:r w:rsidR="00E33984" w:rsidRPr="00E33984">
        <w:rPr>
          <w:szCs w:val="20"/>
        </w:rPr>
        <w:t xml:space="preserve"> en varias ocasiones en el articulado</w:t>
      </w:r>
      <w:r w:rsidR="00E33984">
        <w:rPr>
          <w:szCs w:val="20"/>
        </w:rPr>
        <w:t xml:space="preserve">. Dada la definición que se establece de transparencia en la presente Ley, este </w:t>
      </w:r>
      <w:r w:rsidR="003613BF">
        <w:rPr>
          <w:szCs w:val="20"/>
        </w:rPr>
        <w:t>concepto no deja claro el para qué es relevante la informaci</w:t>
      </w:r>
      <w:r w:rsidR="00885809">
        <w:rPr>
          <w:szCs w:val="20"/>
        </w:rPr>
        <w:t>ón, consideramos que no es tanto para garantizar la transparencia per se sino para</w:t>
      </w:r>
      <w:r w:rsidR="003613BF">
        <w:rPr>
          <w:szCs w:val="20"/>
        </w:rPr>
        <w:t xml:space="preserve"> garantizar transparencia y el control por parte de las personas y de la sociedad</w:t>
      </w:r>
      <w:r w:rsidR="00E33984">
        <w:rPr>
          <w:szCs w:val="20"/>
        </w:rPr>
        <w:t xml:space="preserve">. Por ello, podría especificarse en mayor medida, por ejemplo en el artículo 13.1 </w:t>
      </w:r>
      <w:r w:rsidR="001C2F91" w:rsidRPr="00E33984">
        <w:rPr>
          <w:i/>
          <w:szCs w:val="20"/>
        </w:rPr>
        <w:t xml:space="preserve">información que resulte de mayor relevancia </w:t>
      </w:r>
      <w:r w:rsidR="00E33984" w:rsidRPr="00E33984">
        <w:rPr>
          <w:i/>
          <w:szCs w:val="20"/>
        </w:rPr>
        <w:t>para garantizar la transparencia, facilitar el control ciudadano de la actuación pública y fomentar la participación</w:t>
      </w:r>
      <w:r w:rsidR="00E33984" w:rsidRPr="00E33984">
        <w:rPr>
          <w:szCs w:val="20"/>
        </w:rPr>
        <w:t>.</w:t>
      </w:r>
    </w:p>
    <w:p w:rsidR="000F121F" w:rsidRPr="000F121F" w:rsidRDefault="000F121F" w:rsidP="000F121F">
      <w:pPr>
        <w:pStyle w:val="Prrafodelista"/>
        <w:numPr>
          <w:ilvl w:val="0"/>
          <w:numId w:val="1"/>
        </w:numPr>
        <w:jc w:val="both"/>
        <w:rPr>
          <w:szCs w:val="20"/>
        </w:rPr>
      </w:pPr>
      <w:r>
        <w:rPr>
          <w:b/>
          <w:szCs w:val="20"/>
        </w:rPr>
        <w:t>E</w:t>
      </w:r>
      <w:r w:rsidR="003613BF">
        <w:rPr>
          <w:b/>
          <w:szCs w:val="20"/>
        </w:rPr>
        <w:t>specificarl</w:t>
      </w:r>
      <w:r w:rsidR="001C2F91">
        <w:rPr>
          <w:b/>
          <w:szCs w:val="20"/>
        </w:rPr>
        <w:t>os datos de contacto</w:t>
      </w:r>
      <w:r w:rsidR="003613BF">
        <w:rPr>
          <w:b/>
          <w:szCs w:val="20"/>
        </w:rPr>
        <w:t xml:space="preserve"> como información a publicar de forma proactiva</w:t>
      </w:r>
      <w:r>
        <w:rPr>
          <w:b/>
          <w:szCs w:val="20"/>
        </w:rPr>
        <w:t xml:space="preserve"> en cuanto a información en materia organizativa, institucional o de personal. </w:t>
      </w:r>
    </w:p>
    <w:p w:rsidR="001C2F91" w:rsidRPr="000F121F" w:rsidRDefault="000F121F" w:rsidP="000F121F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B05785">
        <w:rPr>
          <w:b/>
          <w:szCs w:val="20"/>
        </w:rPr>
        <w:t>D</w:t>
      </w:r>
      <w:r w:rsidR="0044685B" w:rsidRPr="00B05785">
        <w:rPr>
          <w:b/>
          <w:szCs w:val="20"/>
        </w:rPr>
        <w:t xml:space="preserve">eberían incluirse las retribuciones </w:t>
      </w:r>
      <w:r w:rsidRPr="00B05785">
        <w:rPr>
          <w:b/>
          <w:szCs w:val="20"/>
        </w:rPr>
        <w:t xml:space="preserve">del personal </w:t>
      </w:r>
      <w:r w:rsidR="0044685B" w:rsidRPr="00B05785">
        <w:rPr>
          <w:b/>
          <w:szCs w:val="20"/>
        </w:rPr>
        <w:t xml:space="preserve">así como los </w:t>
      </w:r>
      <w:r w:rsidR="00DC20D4" w:rsidRPr="00B05785">
        <w:rPr>
          <w:b/>
          <w:szCs w:val="20"/>
        </w:rPr>
        <w:t>gastos de representación asignados</w:t>
      </w:r>
      <w:r w:rsidR="0044685B" w:rsidRPr="00B05785">
        <w:rPr>
          <w:b/>
          <w:szCs w:val="20"/>
        </w:rPr>
        <w:t>y su ejecución</w:t>
      </w:r>
      <w:r w:rsidR="00B05785" w:rsidRPr="00B05785">
        <w:rPr>
          <w:b/>
          <w:szCs w:val="20"/>
        </w:rPr>
        <w:t>.</w:t>
      </w:r>
      <w:r w:rsidR="00B05785">
        <w:rPr>
          <w:szCs w:val="20"/>
        </w:rPr>
        <w:t xml:space="preserve"> También las agendas deberían ser publicadas de forma proactiva. </w:t>
      </w:r>
      <w:r w:rsidRPr="000F121F">
        <w:t xml:space="preserve">Estos cambios </w:t>
      </w:r>
      <w:r w:rsidR="00B05785">
        <w:t xml:space="preserve">y el grado de detalle en la publicación de información </w:t>
      </w:r>
      <w:r w:rsidRPr="000F121F">
        <w:t>deberían afectar a todo el personal que intervenga en los procesos de toma de decisiones, no s</w:t>
      </w:r>
      <w:r>
        <w:t>ólo a los altos</w:t>
      </w:r>
      <w:r w:rsidR="00B05785">
        <w:t xml:space="preserve"> y directivos, independientemente de que sean personal eventual, laboral, etc</w:t>
      </w:r>
      <w:r w:rsidR="00C31062">
        <w:t>. (</w:t>
      </w:r>
      <w:r w:rsidR="00B05785">
        <w:t>art. 19).</w:t>
      </w:r>
    </w:p>
    <w:p w:rsidR="00DC20D4" w:rsidRDefault="000F121F" w:rsidP="000F121F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>Desagregar la i</w:t>
      </w:r>
      <w:r w:rsidR="00DC20D4">
        <w:rPr>
          <w:b/>
          <w:szCs w:val="20"/>
        </w:rPr>
        <w:t>nformación en materia de retribuciones</w:t>
      </w:r>
      <w:r w:rsidR="00DC20D4" w:rsidRPr="000F121F">
        <w:rPr>
          <w:szCs w:val="20"/>
        </w:rPr>
        <w:t xml:space="preserve">: </w:t>
      </w:r>
      <w:r w:rsidRPr="000F121F">
        <w:rPr>
          <w:szCs w:val="20"/>
        </w:rPr>
        <w:t>p</w:t>
      </w:r>
      <w:r w:rsidR="00DC20D4" w:rsidRPr="000F121F">
        <w:rPr>
          <w:szCs w:val="20"/>
        </w:rPr>
        <w:t xml:space="preserve">ara que exista una verdadera transparencia y control </w:t>
      </w:r>
      <w:r w:rsidRPr="000F121F">
        <w:rPr>
          <w:szCs w:val="20"/>
        </w:rPr>
        <w:t xml:space="preserve">por parte de los </w:t>
      </w:r>
      <w:r w:rsidR="00DC20D4" w:rsidRPr="000F121F">
        <w:rPr>
          <w:szCs w:val="20"/>
        </w:rPr>
        <w:t xml:space="preserve">ciudadanos se debe saber en qué se gasta el dinero público y quien lo gasta. Se necesita por tanto que la publicación </w:t>
      </w:r>
      <w:r>
        <w:rPr>
          <w:szCs w:val="20"/>
        </w:rPr>
        <w:t xml:space="preserve"> de </w:t>
      </w:r>
      <w:r>
        <w:rPr>
          <w:szCs w:val="20"/>
        </w:rPr>
        <w:lastRenderedPageBreak/>
        <w:t xml:space="preserve">retribuciones, gastos de representación o indemnizaciones </w:t>
      </w:r>
      <w:r w:rsidR="00DC20D4" w:rsidRPr="000F121F">
        <w:rPr>
          <w:szCs w:val="20"/>
        </w:rPr>
        <w:t xml:space="preserve">se </w:t>
      </w:r>
      <w:r>
        <w:rPr>
          <w:szCs w:val="20"/>
        </w:rPr>
        <w:t xml:space="preserve">puedan asignar a una persona </w:t>
      </w:r>
      <w:r w:rsidR="00DC20D4" w:rsidRPr="000F121F">
        <w:rPr>
          <w:szCs w:val="20"/>
        </w:rPr>
        <w:t>(art. 21)</w:t>
      </w:r>
    </w:p>
    <w:p w:rsidR="00DC20D4" w:rsidRDefault="000F121F" w:rsidP="00645BFC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>I</w:t>
      </w:r>
      <w:r w:rsidR="00DC20D4">
        <w:rPr>
          <w:b/>
          <w:szCs w:val="20"/>
        </w:rPr>
        <w:t>ncluir la información recibida por terceras</w:t>
      </w:r>
      <w:r w:rsidR="00DC20D4" w:rsidRPr="000F121F">
        <w:rPr>
          <w:b/>
          <w:szCs w:val="20"/>
        </w:rPr>
        <w:t xml:space="preserve"> partes</w:t>
      </w:r>
      <w:r w:rsidR="00DC20D4" w:rsidRPr="00B05785">
        <w:rPr>
          <w:b/>
          <w:szCs w:val="20"/>
        </w:rPr>
        <w:t>como información a publicar de forma proactiva</w:t>
      </w:r>
      <w:r w:rsidR="00B05785">
        <w:rPr>
          <w:szCs w:val="20"/>
        </w:rPr>
        <w:t xml:space="preserve">sobre los anteproyectos de ley y los proyectos de reglamentos </w:t>
      </w:r>
      <w:r w:rsidRPr="000F121F">
        <w:rPr>
          <w:szCs w:val="20"/>
        </w:rPr>
        <w:t xml:space="preserve">(art. </w:t>
      </w:r>
      <w:r w:rsidR="00B05785">
        <w:rPr>
          <w:szCs w:val="20"/>
        </w:rPr>
        <w:t>22</w:t>
      </w:r>
      <w:r w:rsidRPr="000F121F">
        <w:rPr>
          <w:szCs w:val="20"/>
        </w:rPr>
        <w:t>)</w:t>
      </w:r>
    </w:p>
    <w:p w:rsidR="00DC20D4" w:rsidRDefault="00B05785" w:rsidP="00645BFC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>E</w:t>
      </w:r>
      <w:r w:rsidR="00DC20D4">
        <w:rPr>
          <w:b/>
          <w:szCs w:val="20"/>
        </w:rPr>
        <w:t xml:space="preserve">specificar que </w:t>
      </w:r>
      <w:r>
        <w:rPr>
          <w:b/>
          <w:szCs w:val="20"/>
        </w:rPr>
        <w:t xml:space="preserve">la información presupuestaria </w:t>
      </w:r>
      <w:r w:rsidR="00DC20D4">
        <w:rPr>
          <w:b/>
          <w:szCs w:val="20"/>
        </w:rPr>
        <w:t xml:space="preserve">se publicará </w:t>
      </w:r>
      <w:r w:rsidR="00F9168B">
        <w:rPr>
          <w:b/>
          <w:szCs w:val="20"/>
        </w:rPr>
        <w:t>información</w:t>
      </w:r>
      <w:r w:rsidR="00DC20D4">
        <w:rPr>
          <w:b/>
          <w:szCs w:val="20"/>
        </w:rPr>
        <w:t xml:space="preserve"> más detallada y en formato reutilizable. </w:t>
      </w:r>
      <w:r w:rsidR="00DC20D4" w:rsidRPr="00B05785">
        <w:rPr>
          <w:szCs w:val="20"/>
        </w:rPr>
        <w:t xml:space="preserve">Por ejemplo en los puntos g,h,i,j y k del apartado B </w:t>
      </w:r>
      <w:r w:rsidRPr="00B05785">
        <w:rPr>
          <w:szCs w:val="20"/>
        </w:rPr>
        <w:t>del artículo 24 es necesario mayor grado de detalle</w:t>
      </w:r>
      <w:r>
        <w:rPr>
          <w:szCs w:val="20"/>
        </w:rPr>
        <w:t xml:space="preserve"> para la rendición de cuentas ante los ciudadanos.</w:t>
      </w:r>
    </w:p>
    <w:p w:rsidR="00DC20D4" w:rsidRDefault="00B05785" w:rsidP="00645BFC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 xml:space="preserve">En los negocios </w:t>
      </w:r>
      <w:r w:rsidR="00AF6D86">
        <w:rPr>
          <w:b/>
          <w:szCs w:val="20"/>
        </w:rPr>
        <w:t>jurídicos</w:t>
      </w:r>
      <w:r>
        <w:rPr>
          <w:b/>
          <w:szCs w:val="20"/>
        </w:rPr>
        <w:t xml:space="preserve"> que tengan como objeto bienes inmuebles y derechos patrimoniales, </w:t>
      </w:r>
      <w:r w:rsidR="00AF6D86">
        <w:rPr>
          <w:b/>
          <w:szCs w:val="20"/>
        </w:rPr>
        <w:t xml:space="preserve">incluir </w:t>
      </w:r>
      <w:r w:rsidR="00DC20D4">
        <w:rPr>
          <w:b/>
          <w:szCs w:val="20"/>
        </w:rPr>
        <w:t>la memoria de adjudicación como información a publicar de forma proactiva</w:t>
      </w:r>
      <w:r w:rsidR="00AF6D86" w:rsidRPr="00AF6D86">
        <w:rPr>
          <w:szCs w:val="20"/>
        </w:rPr>
        <w:t>(art. 25)</w:t>
      </w:r>
    </w:p>
    <w:p w:rsidR="00DC20D4" w:rsidRPr="00AF6D86" w:rsidRDefault="00AF6D86" w:rsidP="00645BFC">
      <w:pPr>
        <w:pStyle w:val="Prrafodelista"/>
        <w:numPr>
          <w:ilvl w:val="0"/>
          <w:numId w:val="1"/>
        </w:numPr>
        <w:jc w:val="both"/>
        <w:rPr>
          <w:szCs w:val="20"/>
        </w:rPr>
      </w:pPr>
      <w:r>
        <w:rPr>
          <w:b/>
          <w:szCs w:val="20"/>
        </w:rPr>
        <w:t>E</w:t>
      </w:r>
      <w:r w:rsidR="00DC20D4">
        <w:rPr>
          <w:b/>
          <w:szCs w:val="20"/>
        </w:rPr>
        <w:t xml:space="preserve">stablecer la </w:t>
      </w:r>
      <w:r w:rsidR="00F9168B">
        <w:rPr>
          <w:b/>
          <w:szCs w:val="20"/>
        </w:rPr>
        <w:t>necesidad</w:t>
      </w:r>
      <w:r w:rsidR="00DC20D4">
        <w:rPr>
          <w:b/>
          <w:szCs w:val="20"/>
        </w:rPr>
        <w:t xml:space="preserve"> de publicar memorias o </w:t>
      </w:r>
      <w:r>
        <w:rPr>
          <w:b/>
          <w:szCs w:val="20"/>
        </w:rPr>
        <w:t xml:space="preserve">evaluaciones de la adjudicación en la celebración de contratos y obras públicas. </w:t>
      </w:r>
      <w:r w:rsidRPr="00AF6D86">
        <w:rPr>
          <w:szCs w:val="20"/>
        </w:rPr>
        <w:t>Los criterios en abstracto no son suficientes para una verdadera rendición de cuentas (Artículo 25, 26, 27, 28)</w:t>
      </w:r>
    </w:p>
    <w:p w:rsidR="00F9168B" w:rsidRPr="00AF6D86" w:rsidRDefault="00AF6D86" w:rsidP="00645BFC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>Añadir mayor grado de detalle en la información que se publica sobre</w:t>
      </w:r>
      <w:r w:rsidR="00DC20D4">
        <w:rPr>
          <w:b/>
          <w:szCs w:val="20"/>
        </w:rPr>
        <w:t xml:space="preserve"> los contratos </w:t>
      </w:r>
      <w:r w:rsidR="00F9168B">
        <w:rPr>
          <w:b/>
          <w:szCs w:val="20"/>
        </w:rPr>
        <w:t>menores</w:t>
      </w:r>
      <w:r w:rsidR="00DC20D4">
        <w:rPr>
          <w:b/>
          <w:szCs w:val="20"/>
        </w:rPr>
        <w:t xml:space="preserve"> formalizados. </w:t>
      </w:r>
      <w:r w:rsidR="00DC20D4" w:rsidRPr="00AF6D86">
        <w:rPr>
          <w:szCs w:val="20"/>
        </w:rPr>
        <w:t xml:space="preserve">No solo </w:t>
      </w:r>
      <w:r w:rsidR="00F9168B" w:rsidRPr="00AF6D86">
        <w:rPr>
          <w:szCs w:val="20"/>
        </w:rPr>
        <w:t>números</w:t>
      </w:r>
      <w:r w:rsidR="00DC20D4" w:rsidRPr="00AF6D86">
        <w:rPr>
          <w:szCs w:val="20"/>
        </w:rPr>
        <w:t xml:space="preserve"> globales sino también detallados y por contratistas</w:t>
      </w:r>
      <w:r w:rsidRPr="00AF6D86">
        <w:rPr>
          <w:szCs w:val="20"/>
        </w:rPr>
        <w:t xml:space="preserve"> (art. 28)</w:t>
      </w:r>
      <w:r>
        <w:rPr>
          <w:szCs w:val="20"/>
        </w:rPr>
        <w:t>.</w:t>
      </w:r>
    </w:p>
    <w:p w:rsidR="00AF6D86" w:rsidRPr="00AF6D86" w:rsidRDefault="00AF6D86" w:rsidP="00645BFC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 xml:space="preserve">Añadir plazos mínimos de actualización de la información. </w:t>
      </w:r>
      <w:r w:rsidR="007D4A99" w:rsidRPr="007D4A99">
        <w:rPr>
          <w:szCs w:val="20"/>
        </w:rPr>
        <w:t>La información publicada de forma proactiva tiene el objetivo de facilitar la transparencia, la participación y la rendición de cuentas, por ello, cada tipo de información debería ser actualizado dependiendo de estos aspectos.</w:t>
      </w:r>
      <w:r w:rsidRPr="00AF6D86">
        <w:rPr>
          <w:szCs w:val="20"/>
        </w:rPr>
        <w:t>Por ejemplo, plazos trimestrales para la actualización de la información institucional y en materia organizativa</w:t>
      </w:r>
      <w:r>
        <w:rPr>
          <w:szCs w:val="20"/>
        </w:rPr>
        <w:t xml:space="preserve"> y plazos </w:t>
      </w:r>
      <w:r w:rsidRPr="00AF6D86">
        <w:rPr>
          <w:szCs w:val="20"/>
        </w:rPr>
        <w:t>semanales en el caso de agendas, etc.</w:t>
      </w:r>
    </w:p>
    <w:p w:rsidR="00F9168B" w:rsidRDefault="00F9168B" w:rsidP="00F9168B">
      <w:pPr>
        <w:rPr>
          <w:b/>
          <w:szCs w:val="20"/>
        </w:rPr>
      </w:pPr>
      <w:r w:rsidRPr="00F9168B">
        <w:rPr>
          <w:b/>
          <w:szCs w:val="20"/>
        </w:rPr>
        <w:t xml:space="preserve">Derecho de acceso a información. </w:t>
      </w:r>
    </w:p>
    <w:p w:rsidR="00F9168B" w:rsidRPr="00645BFC" w:rsidRDefault="00645BFC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>
        <w:rPr>
          <w:b/>
          <w:szCs w:val="20"/>
        </w:rPr>
        <w:t>Permitir realizar solicitudes de acceso a información por correo electrónico</w:t>
      </w:r>
      <w:r w:rsidRPr="00645BFC">
        <w:rPr>
          <w:szCs w:val="20"/>
        </w:rPr>
        <w:t>. La Ley 19/2013 establece limitaciones a la hora de solicitar la información. Los excesivos requisitos de identificación han sido reconocidos por el propio defensor del pueblo</w:t>
      </w:r>
      <w:r>
        <w:rPr>
          <w:szCs w:val="20"/>
        </w:rPr>
        <w:t xml:space="preserve"> y en muchos países de nuestro entorno se puede solicitar información por correo electrónico y sin necesidad de identificarse</w:t>
      </w:r>
      <w:r w:rsidRPr="00645BFC">
        <w:rPr>
          <w:szCs w:val="20"/>
        </w:rPr>
        <w:t xml:space="preserve">. </w:t>
      </w:r>
      <w:r w:rsidRPr="009D69E0">
        <w:rPr>
          <w:szCs w:val="20"/>
        </w:rPr>
        <w:t xml:space="preserve">A pesar de que, este aspecto trasciende las competencias de la Comunidad de Madrid, sí se pueden buscar fórmulas alternativas y más sencillas para </w:t>
      </w:r>
      <w:r w:rsidR="00F9168B" w:rsidRPr="009D69E0">
        <w:rPr>
          <w:szCs w:val="20"/>
        </w:rPr>
        <w:t>garantizar el derecho de acceso a la información</w:t>
      </w:r>
      <w:r w:rsidRPr="009D69E0">
        <w:rPr>
          <w:szCs w:val="20"/>
        </w:rPr>
        <w:t xml:space="preserve"> con un procedimiento de solicitud más simplificado.</w:t>
      </w:r>
      <w:r>
        <w:rPr>
          <w:szCs w:val="20"/>
        </w:rPr>
        <w:t>Pueden tomarse como ejemplo el sistema del Consejo general del poder Judicial o el borrador de ordenanza de transparencia del Ayuntamiento de Madrid.</w:t>
      </w:r>
    </w:p>
    <w:p w:rsidR="009A1D49" w:rsidRDefault="00645BFC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>
        <w:rPr>
          <w:b/>
          <w:szCs w:val="20"/>
        </w:rPr>
        <w:t>Establecer s</w:t>
      </w:r>
      <w:r w:rsidR="009A1D49">
        <w:rPr>
          <w:b/>
          <w:szCs w:val="20"/>
        </w:rPr>
        <w:t>ilencio administrativo</w:t>
      </w:r>
      <w:r>
        <w:rPr>
          <w:b/>
          <w:szCs w:val="20"/>
        </w:rPr>
        <w:t xml:space="preserve"> positivo</w:t>
      </w:r>
      <w:r w:rsidRPr="00645BFC">
        <w:rPr>
          <w:szCs w:val="20"/>
        </w:rPr>
        <w:t xml:space="preserve">. El silencio administrativo negativo </w:t>
      </w:r>
      <w:r>
        <w:rPr>
          <w:szCs w:val="20"/>
        </w:rPr>
        <w:t xml:space="preserve">afecta a la predictibilidad de obtener la información y genera </w:t>
      </w:r>
      <w:r w:rsidRPr="00645BFC">
        <w:rPr>
          <w:szCs w:val="20"/>
        </w:rPr>
        <w:t>una inseguridad a las personas que ejercen su derecho de acceso a la información y desincentiva las solicitudes.</w:t>
      </w:r>
      <w:r w:rsidR="00812588">
        <w:rPr>
          <w:szCs w:val="20"/>
        </w:rPr>
        <w:t xml:space="preserve"> Debe establecerse silencio positivo tanto a la hora de responder a las solicitudes </w:t>
      </w:r>
      <w:r w:rsidR="000566B8">
        <w:rPr>
          <w:szCs w:val="20"/>
        </w:rPr>
        <w:t xml:space="preserve">(art. 46) </w:t>
      </w:r>
      <w:r w:rsidR="00812588">
        <w:rPr>
          <w:szCs w:val="20"/>
        </w:rPr>
        <w:t>como a las reclamaciones ante del Comisionado de transparencia</w:t>
      </w:r>
      <w:r w:rsidR="000566B8">
        <w:rPr>
          <w:szCs w:val="20"/>
        </w:rPr>
        <w:t xml:space="preserve"> (art.57)</w:t>
      </w:r>
      <w:r w:rsidR="00812588">
        <w:rPr>
          <w:szCs w:val="20"/>
        </w:rPr>
        <w:t>.</w:t>
      </w:r>
    </w:p>
    <w:p w:rsidR="007D4A99" w:rsidRPr="007D4A99" w:rsidRDefault="004B3BBB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>
        <w:rPr>
          <w:b/>
          <w:szCs w:val="20"/>
        </w:rPr>
        <w:t>Establecer plazos para resolver de 15 días hábiles o 20 días naturales</w:t>
      </w:r>
      <w:r>
        <w:rPr>
          <w:szCs w:val="20"/>
        </w:rPr>
        <w:t>de acuerdo con las buenas prácticas y con los estándares internacionales.</w:t>
      </w:r>
      <w:r w:rsidR="007D4A99">
        <w:rPr>
          <w:szCs w:val="20"/>
        </w:rPr>
        <w:t xml:space="preserve"> Las personas deben tener acceso a información en un plazo razonable y lo más corto posible. Así mismo, el plazo para responder debe contarse desde que la solicitud se realiza por la persona y no desde la recepción del órgano competente para resolver. En su defecto, deber establecerse un plazo breve entre el registro y la recepción por el órgano encargado de resolver. </w:t>
      </w:r>
    </w:p>
    <w:p w:rsidR="009A1D49" w:rsidRPr="00E75BDB" w:rsidRDefault="004B3BBB" w:rsidP="00812588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lastRenderedPageBreak/>
        <w:t>Establecer la obligación de la administración de r</w:t>
      </w:r>
      <w:r w:rsidR="009A1D49">
        <w:rPr>
          <w:b/>
          <w:szCs w:val="20"/>
        </w:rPr>
        <w:t>emitir a la unidad competente para resolver</w:t>
      </w:r>
      <w:r>
        <w:rPr>
          <w:b/>
          <w:szCs w:val="20"/>
        </w:rPr>
        <w:t xml:space="preserve"> las solicitudes de información que no obra en su poder. </w:t>
      </w:r>
      <w:r w:rsidRPr="004B3BBB">
        <w:rPr>
          <w:szCs w:val="20"/>
        </w:rPr>
        <w:t xml:space="preserve">No es </w:t>
      </w:r>
      <w:r w:rsidR="00384A88" w:rsidRPr="004B3BBB">
        <w:rPr>
          <w:szCs w:val="20"/>
        </w:rPr>
        <w:t>tolerable</w:t>
      </w:r>
      <w:r w:rsidRPr="004B3BBB">
        <w:rPr>
          <w:szCs w:val="20"/>
        </w:rPr>
        <w:t xml:space="preserve">, según los estándares internacionales que se inadmitan a trámite solicitudes </w:t>
      </w:r>
      <w:r w:rsidR="009D69E0">
        <w:rPr>
          <w:szCs w:val="20"/>
        </w:rPr>
        <w:t xml:space="preserve">que no van dirigidas al órgano correcto, </w:t>
      </w:r>
      <w:r w:rsidRPr="004B3BBB">
        <w:rPr>
          <w:szCs w:val="20"/>
        </w:rPr>
        <w:t>y es</w:t>
      </w:r>
      <w:r>
        <w:rPr>
          <w:szCs w:val="20"/>
        </w:rPr>
        <w:t>te hecho es</w:t>
      </w:r>
      <w:r w:rsidRPr="004B3BBB">
        <w:rPr>
          <w:szCs w:val="20"/>
        </w:rPr>
        <w:t xml:space="preserve"> incompatible con el deber de asistir a los solicitantes de acceso a información. Debe ser la administración la que remita al órgano competente la solicitud</w:t>
      </w:r>
      <w:r>
        <w:rPr>
          <w:szCs w:val="20"/>
        </w:rPr>
        <w:t>. Esta restricción ni siquiera está contemplada en la actual Ley a nivel estatal</w:t>
      </w:r>
      <w:r w:rsidR="000566B8">
        <w:rPr>
          <w:szCs w:val="20"/>
        </w:rPr>
        <w:t xml:space="preserve"> que ya hemos comentado que se evalúa como limitada por parte de indicadores internacionales</w:t>
      </w:r>
      <w:r>
        <w:rPr>
          <w:szCs w:val="20"/>
        </w:rPr>
        <w:t>.</w:t>
      </w:r>
    </w:p>
    <w:p w:rsidR="00E75BDB" w:rsidRPr="004B3BBB" w:rsidRDefault="00E75BDB" w:rsidP="00DC2DFF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 xml:space="preserve">Reducir los límites al derecho de acceso. </w:t>
      </w:r>
      <w:r w:rsidRPr="00E75BDB">
        <w:rPr>
          <w:szCs w:val="20"/>
        </w:rPr>
        <w:t>El artículo</w:t>
      </w:r>
      <w:r w:rsidR="00E460C0">
        <w:rPr>
          <w:szCs w:val="20"/>
        </w:rPr>
        <w:t xml:space="preserve"> 37</w:t>
      </w:r>
      <w:r w:rsidRPr="00E75BDB">
        <w:rPr>
          <w:szCs w:val="20"/>
        </w:rPr>
        <w:t xml:space="preserve"> establece una serie de límites al derecho de acceso que van en contra de los estándares de la Convención de Acceso a los Documentos Oficiales del Consejo de Europa que aún no ha sido firmada por España. Límites como el secreto profesional y la propiedad industrial o la garantía de la confidencialidad en los procesos de toma de decisión, no están admitidos por los estándares internacionales.</w:t>
      </w:r>
      <w:r w:rsidR="00DC2DFF">
        <w:t>Ad</w:t>
      </w:r>
      <w:bookmarkStart w:id="0" w:name="_GoBack"/>
      <w:bookmarkEnd w:id="0"/>
      <w:r w:rsidR="00DC2DFF">
        <w:t xml:space="preserve">emás de la eliminación de las letras j y k del artículo 37 proponemos que se añada que </w:t>
      </w:r>
      <w:r w:rsidR="00DC2DFF">
        <w:rPr>
          <w:szCs w:val="20"/>
        </w:rPr>
        <w:t>l</w:t>
      </w:r>
      <w:r w:rsidR="00DC2DFF" w:rsidRPr="00DC2DFF">
        <w:rPr>
          <w:szCs w:val="20"/>
        </w:rPr>
        <w:t>a interpretación de estos límites será restrictiva, y se favorecerá la mayor difusión y acceso posibles a la información sin</w:t>
      </w:r>
      <w:r w:rsidR="00DC2DFF">
        <w:rPr>
          <w:szCs w:val="20"/>
        </w:rPr>
        <w:t xml:space="preserve"> menoscabo para dichos límites.</w:t>
      </w:r>
    </w:p>
    <w:p w:rsidR="004B3BBB" w:rsidRPr="00F834DD" w:rsidRDefault="004B3BBB" w:rsidP="00812588">
      <w:pPr>
        <w:pStyle w:val="Prrafodelista"/>
        <w:numPr>
          <w:ilvl w:val="0"/>
          <w:numId w:val="1"/>
        </w:numPr>
        <w:jc w:val="both"/>
        <w:rPr>
          <w:szCs w:val="20"/>
        </w:rPr>
      </w:pPr>
      <w:r w:rsidRPr="00F834DD">
        <w:rPr>
          <w:b/>
          <w:szCs w:val="20"/>
        </w:rPr>
        <w:t>Eliminar la</w:t>
      </w:r>
      <w:r w:rsidR="000566B8" w:rsidRPr="00F834DD">
        <w:rPr>
          <w:b/>
          <w:szCs w:val="20"/>
        </w:rPr>
        <w:t>s causas de inadmisión</w:t>
      </w:r>
      <w:r w:rsidR="00384A88" w:rsidRPr="00F834DD">
        <w:rPr>
          <w:b/>
          <w:szCs w:val="20"/>
        </w:rPr>
        <w:t xml:space="preserve"> a tr</w:t>
      </w:r>
      <w:r w:rsidR="00F834DD" w:rsidRPr="00F834DD">
        <w:rPr>
          <w:b/>
          <w:szCs w:val="20"/>
        </w:rPr>
        <w:t xml:space="preserve">ámite de las solicitudes. </w:t>
      </w:r>
      <w:r w:rsidR="00F834DD" w:rsidRPr="00F834DD">
        <w:rPr>
          <w:szCs w:val="20"/>
        </w:rPr>
        <w:t>A pesar de que se ha hecho esfuerzo en incluir una interpretación favorable a algunas causas de inadmisión, como por ejemplo la no consideración de los informes preceptivos como información auxiliar o de apoyo, la mayoría de las causas de inadmisión no están en línea con los estándares internacionales. Todas</w:t>
      </w:r>
      <w:r w:rsidR="00384A88" w:rsidRPr="00F834DD">
        <w:rPr>
          <w:szCs w:val="20"/>
        </w:rPr>
        <w:t xml:space="preserve"> las causas de inadmisión establecidas </w:t>
      </w:r>
      <w:r w:rsidR="00F834DD">
        <w:rPr>
          <w:szCs w:val="20"/>
        </w:rPr>
        <w:t xml:space="preserve">en el artículo 43 </w:t>
      </w:r>
      <w:r w:rsidR="00384A88" w:rsidRPr="00F834DD">
        <w:rPr>
          <w:szCs w:val="20"/>
        </w:rPr>
        <w:t xml:space="preserve">pueden dar lugar a arbitrariedad en la aplicación del derecho de acceso. </w:t>
      </w:r>
      <w:r w:rsidR="00F41276" w:rsidRPr="00F834DD">
        <w:rPr>
          <w:szCs w:val="20"/>
        </w:rPr>
        <w:t xml:space="preserve">Especialmente llamativa es la </w:t>
      </w:r>
      <w:r w:rsidRPr="00F834DD">
        <w:rPr>
          <w:szCs w:val="20"/>
        </w:rPr>
        <w:t xml:space="preserve">posibilidad de inadmitir solicitudes que afecten a una pluralidad de personas cuyos datos </w:t>
      </w:r>
      <w:r w:rsidR="007D4A99" w:rsidRPr="00F834DD">
        <w:rPr>
          <w:szCs w:val="20"/>
        </w:rPr>
        <w:t>personales pudieran revelarse con el acceso a información</w:t>
      </w:r>
      <w:r w:rsidR="00F834DD">
        <w:rPr>
          <w:szCs w:val="20"/>
        </w:rPr>
        <w:t>, que supone una limitación al derecho de acceso respecto a la ya de por sí ley de mínimos 19/2013</w:t>
      </w:r>
      <w:r w:rsidR="007D4A99" w:rsidRPr="00F834DD">
        <w:rPr>
          <w:szCs w:val="20"/>
        </w:rPr>
        <w:t>. Esta consideración, totalmente legítima, no debe abordarse como causa de inadmisión. Existen otros mecanismos y prácticas a nivel internacional en legislaciones como es la posibilidad de ampliar el plazo para resolver si concurre esta circunstancia.</w:t>
      </w:r>
    </w:p>
    <w:p w:rsidR="00F41E5A" w:rsidRPr="00B441F0" w:rsidRDefault="00F41E5A" w:rsidP="00F41E5A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B441F0">
        <w:rPr>
          <w:b/>
          <w:szCs w:val="20"/>
        </w:rPr>
        <w:t>Concretar y matizar la posibilidad de abonar tasas por la t</w:t>
      </w:r>
      <w:r w:rsidR="00B441F0" w:rsidRPr="00B441F0">
        <w:rPr>
          <w:b/>
          <w:szCs w:val="20"/>
        </w:rPr>
        <w:t xml:space="preserve">ransposición de la información a un formato diferente del original. </w:t>
      </w:r>
      <w:r w:rsidR="00B441F0" w:rsidRPr="00B441F0">
        <w:rPr>
          <w:szCs w:val="20"/>
        </w:rPr>
        <w:t>Debe concretarse este aspecto tanto en el artículo 8 como en el artículo 50 para que no haya aplicaciones excesivas de la legislación al respecto</w:t>
      </w:r>
      <w:r w:rsidR="00B441F0">
        <w:rPr>
          <w:szCs w:val="20"/>
        </w:rPr>
        <w:t xml:space="preserve">. </w:t>
      </w:r>
      <w:r w:rsidR="008B2C61">
        <w:rPr>
          <w:szCs w:val="20"/>
        </w:rPr>
        <w:t>En todo caso, debe quedar claro que el escaneo o digitalización de un documento no debe ser considerado transposición de la información.</w:t>
      </w:r>
      <w:r w:rsidR="00F834DD">
        <w:rPr>
          <w:szCs w:val="20"/>
        </w:rPr>
        <w:t>Este artículo contradice el principio de accesibilidad de información y las prácticas internacionales. Por ejemplo</w:t>
      </w:r>
      <w:r w:rsidR="00C30BFF">
        <w:rPr>
          <w:szCs w:val="20"/>
        </w:rPr>
        <w:t>,</w:t>
      </w:r>
      <w:r w:rsidR="00F834DD">
        <w:rPr>
          <w:szCs w:val="20"/>
        </w:rPr>
        <w:t xml:space="preserve"> ya hay países que están estableciendo dentro de sus legislaciones de acceso a información la trasposición al Braille de la información</w:t>
      </w:r>
      <w:r w:rsidR="00C30BFF">
        <w:rPr>
          <w:szCs w:val="20"/>
        </w:rPr>
        <w:t>.</w:t>
      </w:r>
    </w:p>
    <w:p w:rsidR="00C30BFF" w:rsidRDefault="00C30BFF" w:rsidP="003B4AEF">
      <w:pPr>
        <w:jc w:val="both"/>
        <w:rPr>
          <w:b/>
          <w:szCs w:val="20"/>
        </w:rPr>
      </w:pPr>
      <w:r>
        <w:rPr>
          <w:b/>
          <w:szCs w:val="20"/>
        </w:rPr>
        <w:t>Regulación del lobby</w:t>
      </w:r>
    </w:p>
    <w:p w:rsidR="006E7C94" w:rsidRDefault="00C30BFF" w:rsidP="006E7C94">
      <w:pPr>
        <w:jc w:val="both"/>
        <w:rPr>
          <w:bCs/>
          <w:szCs w:val="20"/>
        </w:rPr>
      </w:pPr>
      <w:r w:rsidRPr="006E7C94">
        <w:rPr>
          <w:szCs w:val="20"/>
        </w:rPr>
        <w:t>La ley supone un paso adelante en favor de la transparencia y rendición de cuentas a través de la creación de un registro de transparencia. No obstante, desde Access Info Europe consideramos que deben introducirse aspectos más concretos para que éste registro ayude a co</w:t>
      </w:r>
      <w:r w:rsidR="006E7C94" w:rsidRPr="006E7C94">
        <w:rPr>
          <w:szCs w:val="20"/>
        </w:rPr>
        <w:t xml:space="preserve">nseguir una mayor transparencia. </w:t>
      </w:r>
      <w:r w:rsidR="006E7C94" w:rsidRPr="006E7C94">
        <w:rPr>
          <w:bCs/>
          <w:szCs w:val="20"/>
        </w:rPr>
        <w:t xml:space="preserve">Esta propuesta se realiza de acuerdo con los </w:t>
      </w:r>
      <w:hyperlink r:id="rId10" w:history="1">
        <w:r w:rsidR="006E7C94" w:rsidRPr="006E7C94">
          <w:rPr>
            <w:rStyle w:val="Hipervnculo"/>
            <w:bCs/>
            <w:szCs w:val="20"/>
          </w:rPr>
          <w:t>Estándares Internacionales para la Regulación del lobby</w:t>
        </w:r>
      </w:hyperlink>
      <w:r w:rsidR="006E7C94" w:rsidRPr="006E7C94">
        <w:rPr>
          <w:bCs/>
          <w:szCs w:val="20"/>
        </w:rPr>
        <w:t xml:space="preserve"> que son el resultado de dos años de trabajo conjunto de la sociedad civil, impulsado por Transparency International, Access Info Europe, Sunlight Foundation, ALTER-EU y Open Knowledge Foundation.</w:t>
      </w:r>
    </w:p>
    <w:p w:rsidR="006E7C94" w:rsidRPr="006E7C94" w:rsidRDefault="006E7C94" w:rsidP="006E7C94">
      <w:pPr>
        <w:pStyle w:val="Prrafodelista"/>
        <w:numPr>
          <w:ilvl w:val="0"/>
          <w:numId w:val="1"/>
        </w:numPr>
        <w:jc w:val="both"/>
        <w:rPr>
          <w:bCs/>
          <w:szCs w:val="20"/>
        </w:rPr>
      </w:pPr>
      <w:r w:rsidRPr="006E7C94">
        <w:rPr>
          <w:b/>
          <w:szCs w:val="20"/>
        </w:rPr>
        <w:lastRenderedPageBreak/>
        <w:t xml:space="preserve">Ampliar la información que debe contener el registro de transparencia. </w:t>
      </w:r>
      <w:r>
        <w:rPr>
          <w:bCs/>
          <w:szCs w:val="20"/>
        </w:rPr>
        <w:t>E</w:t>
      </w:r>
      <w:r w:rsidRPr="006E7C94">
        <w:rPr>
          <w:bCs/>
          <w:szCs w:val="20"/>
        </w:rPr>
        <w:t xml:space="preserve">l registro debe contener como mínimo información sobre: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la identidad de los lobistas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el objeto de las actividades de lobby y los resultados buscados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el beneficiario final de las actividades de lobby (cuando sea relevante)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 xml:space="preserve">la institución destinataria y/o el cargo público implicado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el tipo y la frecuencia de las actividades de lobby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 xml:space="preserve">toda documentación de referencia intercambiada con los cargos públicos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 xml:space="preserve">gastos de lobby, incluidos gastos en especie (calculados conforme a criterios preestablecidos, de ser necesario en rangos de costo) 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fuentes de financiación, por cliente y por dossier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todo tipo de contribuciones políticas, incluso en especie</w:t>
      </w:r>
    </w:p>
    <w:p w:rsidR="006E7C94" w:rsidRPr="006E7C94" w:rsidRDefault="006E7C94" w:rsidP="006E7C94">
      <w:pPr>
        <w:pStyle w:val="Prrafodelista"/>
        <w:numPr>
          <w:ilvl w:val="1"/>
          <w:numId w:val="1"/>
        </w:numPr>
        <w:rPr>
          <w:bCs/>
          <w:szCs w:val="20"/>
        </w:rPr>
      </w:pPr>
      <w:r w:rsidRPr="006E7C94">
        <w:rPr>
          <w:bCs/>
          <w:szCs w:val="20"/>
        </w:rPr>
        <w:t>cargos públicos ocupados anteriormente por la persona y/o sus familiares</w:t>
      </w:r>
    </w:p>
    <w:p w:rsidR="00C30BFF" w:rsidRPr="006E7C94" w:rsidRDefault="006E7C94" w:rsidP="006E7C94">
      <w:pPr>
        <w:pStyle w:val="Prrafodelista"/>
        <w:numPr>
          <w:ilvl w:val="1"/>
          <w:numId w:val="1"/>
        </w:numPr>
        <w:jc w:val="both"/>
        <w:rPr>
          <w:szCs w:val="20"/>
        </w:rPr>
      </w:pPr>
      <w:r w:rsidRPr="006E7C94">
        <w:rPr>
          <w:bCs/>
          <w:szCs w:val="20"/>
        </w:rPr>
        <w:t>fondos públicos recibidos</w:t>
      </w:r>
    </w:p>
    <w:p w:rsidR="006E7C94" w:rsidRPr="006E7C94" w:rsidRDefault="006E7C94" w:rsidP="006E7C9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6E7C94">
        <w:rPr>
          <w:b/>
          <w:szCs w:val="20"/>
        </w:rPr>
        <w:t>Especificar</w:t>
      </w:r>
      <w:r w:rsidR="008B2C61" w:rsidRPr="006E7C94">
        <w:rPr>
          <w:b/>
          <w:szCs w:val="20"/>
        </w:rPr>
        <w:t xml:space="preserve"> los sujetos obligados a inscribirse en el registro y qué tipo de actividad debe cubrir</w:t>
      </w:r>
      <w:r w:rsidR="008B2C61" w:rsidRPr="006E7C94">
        <w:rPr>
          <w:szCs w:val="20"/>
        </w:rPr>
        <w:t>. Toda persona (física o jurídica) que intervenga en los procesos de toma de decisión pública, así mismo debe cubrir a todas las personas del sector público con responsabilidad en la toma de decisiones no limitarse</w:t>
      </w:r>
      <w:r>
        <w:rPr>
          <w:szCs w:val="20"/>
        </w:rPr>
        <w:t xml:space="preserve"> a los representantes públicos.</w:t>
      </w:r>
    </w:p>
    <w:p w:rsidR="006E7C94" w:rsidRPr="006E7C94" w:rsidRDefault="006E7C94" w:rsidP="006E7C9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>Establecer un sistema de sanciones</w:t>
      </w:r>
      <w:r w:rsidRPr="006E7C94">
        <w:rPr>
          <w:szCs w:val="20"/>
        </w:rPr>
        <w:t>.</w:t>
      </w:r>
      <w:r w:rsidR="00812588" w:rsidRPr="006E7C94">
        <w:rPr>
          <w:szCs w:val="20"/>
        </w:rPr>
        <w:t>Para que dicho registro sea efectivo debe establecerse la prohibición por parte de los trabajadores públicos de reunirse con personas que no están inscritas en el registro y el establecimiento de sancione</w:t>
      </w:r>
      <w:r>
        <w:rPr>
          <w:szCs w:val="20"/>
        </w:rPr>
        <w:t>s ante vulneraciones de la Ley.</w:t>
      </w:r>
    </w:p>
    <w:p w:rsidR="009A1D49" w:rsidRPr="009A7B45" w:rsidRDefault="006E7C94" w:rsidP="006E7C94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6E7C94">
        <w:rPr>
          <w:b/>
          <w:szCs w:val="20"/>
        </w:rPr>
        <w:t xml:space="preserve">Establecer la obligación de reportar las reuniones y publicar las </w:t>
      </w:r>
      <w:r w:rsidR="008B2C61" w:rsidRPr="006E7C94">
        <w:rPr>
          <w:b/>
          <w:szCs w:val="20"/>
        </w:rPr>
        <w:t>agendas</w:t>
      </w:r>
      <w:r w:rsidR="008B2C61" w:rsidRPr="006E7C94">
        <w:rPr>
          <w:szCs w:val="20"/>
        </w:rPr>
        <w:t xml:space="preserve"> de reuniones, documentos utilizados</w:t>
      </w:r>
      <w:r w:rsidR="00812588" w:rsidRPr="006E7C94">
        <w:rPr>
          <w:szCs w:val="20"/>
        </w:rPr>
        <w:t xml:space="preserve"> y compartidos en las reuniones.</w:t>
      </w:r>
      <w:r w:rsidR="009A7B45">
        <w:rPr>
          <w:szCs w:val="20"/>
        </w:rPr>
        <w:t>Las agendas se actualizarán con la información al menos 5 días antes de que se celebre la reunión o en su defecto 5 días después se publicará toda la información relativa a la misma (documentos compartidos, actas, etc).</w:t>
      </w:r>
    </w:p>
    <w:p w:rsidR="009A7B45" w:rsidRPr="009A7B45" w:rsidRDefault="009A7B45" w:rsidP="009A7B45">
      <w:pPr>
        <w:jc w:val="both"/>
        <w:rPr>
          <w:b/>
          <w:szCs w:val="20"/>
        </w:rPr>
      </w:pPr>
      <w:r>
        <w:rPr>
          <w:b/>
          <w:szCs w:val="20"/>
        </w:rPr>
        <w:t>Comisionado de transparencia</w:t>
      </w:r>
    </w:p>
    <w:p w:rsidR="003B4AEF" w:rsidRPr="009A7B45" w:rsidRDefault="003B4AEF" w:rsidP="009A7B45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 w:rsidRPr="003B4AEF">
        <w:rPr>
          <w:b/>
          <w:szCs w:val="20"/>
        </w:rPr>
        <w:t>Permitir la posibilidad de realizar las reclamaciones ante el comisionado de t</w:t>
      </w:r>
      <w:r w:rsidR="00812588" w:rsidRPr="003B4AEF">
        <w:rPr>
          <w:b/>
          <w:szCs w:val="20"/>
        </w:rPr>
        <w:t xml:space="preserve">ransparencia por vía </w:t>
      </w:r>
      <w:r w:rsidR="009A7B45" w:rsidRPr="009A7B45">
        <w:rPr>
          <w:b/>
          <w:szCs w:val="20"/>
        </w:rPr>
        <w:t>electrónica</w:t>
      </w:r>
      <w:r w:rsidR="009A7B45">
        <w:rPr>
          <w:b/>
          <w:szCs w:val="20"/>
        </w:rPr>
        <w:t xml:space="preserve">. </w:t>
      </w:r>
      <w:r w:rsidR="009A7B45">
        <w:rPr>
          <w:szCs w:val="20"/>
        </w:rPr>
        <w:t>El actual texto no deja clara la posibilidad de poder presentar las reclamaciones vía electrónica y se limita a mencionar la posibilidad de presentarlas de forma presencial.</w:t>
      </w:r>
    </w:p>
    <w:p w:rsidR="00220A3D" w:rsidRPr="00220A3D" w:rsidRDefault="00220A3D" w:rsidP="00220A3D">
      <w:pPr>
        <w:pStyle w:val="Prrafodelista"/>
        <w:numPr>
          <w:ilvl w:val="0"/>
          <w:numId w:val="1"/>
        </w:numPr>
        <w:jc w:val="both"/>
        <w:rPr>
          <w:b/>
          <w:szCs w:val="20"/>
        </w:rPr>
      </w:pPr>
      <w:r>
        <w:rPr>
          <w:b/>
          <w:szCs w:val="20"/>
        </w:rPr>
        <w:t xml:space="preserve">Garantizar la independencia del Comisionado de Transparencia y Acceso a información. </w:t>
      </w:r>
      <w:r w:rsidRPr="00220A3D">
        <w:rPr>
          <w:szCs w:val="20"/>
        </w:rPr>
        <w:t xml:space="preserve">Debe garantizarse </w:t>
      </w:r>
      <w:r w:rsidR="00E87584">
        <w:rPr>
          <w:szCs w:val="20"/>
        </w:rPr>
        <w:t xml:space="preserve">tanto </w:t>
      </w:r>
      <w:r w:rsidRPr="00220A3D">
        <w:rPr>
          <w:szCs w:val="20"/>
        </w:rPr>
        <w:t xml:space="preserve">su independencia orgánica como presupuestaria para que ejerza su papel como un verdadero mecanismo de </w:t>
      </w:r>
      <w:r w:rsidRPr="00475549">
        <w:rPr>
          <w:szCs w:val="20"/>
        </w:rPr>
        <w:t>control.</w:t>
      </w:r>
      <w:r w:rsidR="00475549" w:rsidRPr="00475549">
        <w:rPr>
          <w:szCs w:val="20"/>
        </w:rPr>
        <w:t>Debe cumplir requisitos de experiencia profesional y currículum adecuado para el puesto, ser elegido por la mayoría del Parlamento en proceso de audiencias públicas y tener su mandato garantizado (Sólo podrá ser destituido por la mayoría del parlamento y ante causas graves). Además, su presupuesto anual debe venir establecido en los presupuestos de la Comunidad de Madrid para garantizar independencia financiera.</w:t>
      </w:r>
    </w:p>
    <w:p w:rsidR="00F9168B" w:rsidRPr="00220A3D" w:rsidRDefault="00F9168B" w:rsidP="00F9168B">
      <w:pPr>
        <w:rPr>
          <w:b/>
          <w:szCs w:val="20"/>
        </w:rPr>
      </w:pPr>
      <w:r w:rsidRPr="00220A3D">
        <w:rPr>
          <w:b/>
          <w:szCs w:val="20"/>
        </w:rPr>
        <w:t>Sanciones</w:t>
      </w:r>
    </w:p>
    <w:p w:rsidR="00126C32" w:rsidRPr="00092586" w:rsidRDefault="00220A3D" w:rsidP="00E87584">
      <w:pPr>
        <w:spacing w:after="0"/>
        <w:jc w:val="both"/>
        <w:rPr>
          <w:szCs w:val="20"/>
        </w:rPr>
      </w:pPr>
      <w:r>
        <w:rPr>
          <w:b/>
          <w:szCs w:val="20"/>
        </w:rPr>
        <w:lastRenderedPageBreak/>
        <w:t xml:space="preserve">Dotar al Comisionado de Transparencia y Acceso a Información de poder para la iniciación y resolución de procedimientos disciplinarios. </w:t>
      </w:r>
      <w:r w:rsidR="00475549">
        <w:rPr>
          <w:szCs w:val="20"/>
        </w:rPr>
        <w:t xml:space="preserve">Para garantizar </w:t>
      </w:r>
      <w:r w:rsidR="0044335A">
        <w:rPr>
          <w:szCs w:val="20"/>
        </w:rPr>
        <w:t xml:space="preserve">la eficacia </w:t>
      </w:r>
      <w:r w:rsidR="00475549">
        <w:rPr>
          <w:szCs w:val="20"/>
        </w:rPr>
        <w:t xml:space="preserve">del sistema de sanciones y </w:t>
      </w:r>
      <w:r w:rsidR="0044335A">
        <w:rPr>
          <w:szCs w:val="20"/>
        </w:rPr>
        <w:t>enfatizar su carácter disuasorio</w:t>
      </w:r>
      <w:r w:rsidR="00475549">
        <w:rPr>
          <w:szCs w:val="20"/>
        </w:rPr>
        <w:t>, éstas deben ser establecidas por un órgano independiente. Es decir, el Consejo debe tener</w:t>
      </w:r>
      <w:r w:rsidRPr="00220A3D">
        <w:rPr>
          <w:szCs w:val="20"/>
        </w:rPr>
        <w:t xml:space="preserve"> poder sancionador para supervisar y garantizar la aplicación de la legislación por un órgano independiente.</w:t>
      </w:r>
    </w:p>
    <w:p w:rsidR="00E87584" w:rsidRDefault="004708F5" w:rsidP="00E87584">
      <w:pPr>
        <w:spacing w:after="0"/>
        <w:rPr>
          <w:szCs w:val="20"/>
        </w:rPr>
      </w:pPr>
      <w:r w:rsidRPr="00220A3D">
        <w:rPr>
          <w:szCs w:val="20"/>
        </w:rPr>
        <w:t xml:space="preserve">------ </w:t>
      </w:r>
    </w:p>
    <w:p w:rsidR="00FC3741" w:rsidRPr="00E87584" w:rsidRDefault="00AE4504" w:rsidP="00E87584">
      <w:pPr>
        <w:spacing w:after="0"/>
        <w:rPr>
          <w:szCs w:val="20"/>
        </w:rPr>
      </w:pPr>
      <w:r w:rsidRPr="00220A3D">
        <w:rPr>
          <w:i/>
          <w:szCs w:val="20"/>
        </w:rPr>
        <w:t>Acce</w:t>
      </w:r>
      <w:r w:rsidR="00220A3D" w:rsidRPr="00220A3D">
        <w:rPr>
          <w:i/>
          <w:szCs w:val="20"/>
        </w:rPr>
        <w:t>ss Info Europe, 4 marzo 2016</w:t>
      </w:r>
      <w:r w:rsidRPr="00220A3D">
        <w:rPr>
          <w:i/>
          <w:szCs w:val="20"/>
        </w:rPr>
        <w:t xml:space="preserve">. </w:t>
      </w:r>
    </w:p>
    <w:p w:rsidR="009755A7" w:rsidRPr="00220A3D" w:rsidRDefault="00220A3D" w:rsidP="00E87584">
      <w:pPr>
        <w:spacing w:after="0" w:line="276" w:lineRule="auto"/>
        <w:rPr>
          <w:szCs w:val="20"/>
        </w:rPr>
      </w:pPr>
      <w:r w:rsidRPr="00220A3D">
        <w:rPr>
          <w:szCs w:val="20"/>
        </w:rPr>
        <w:t>Para m</w:t>
      </w:r>
      <w:r>
        <w:rPr>
          <w:szCs w:val="20"/>
        </w:rPr>
        <w:t>ás información por favor contacta con:</w:t>
      </w:r>
    </w:p>
    <w:p w:rsidR="00BF4628" w:rsidRPr="00220A3D" w:rsidRDefault="00220A3D" w:rsidP="00E87584">
      <w:pPr>
        <w:spacing w:after="0" w:line="276" w:lineRule="auto"/>
        <w:rPr>
          <w:szCs w:val="20"/>
        </w:rPr>
      </w:pPr>
      <w:r w:rsidRPr="00220A3D">
        <w:rPr>
          <w:b/>
          <w:bCs/>
          <w:color w:val="366B95"/>
          <w:szCs w:val="20"/>
        </w:rPr>
        <w:t>Alba Gutiérrez</w:t>
      </w:r>
      <w:r w:rsidR="004919D9" w:rsidRPr="00220A3D">
        <w:rPr>
          <w:b/>
          <w:bCs/>
          <w:color w:val="366B95"/>
          <w:szCs w:val="20"/>
        </w:rPr>
        <w:t xml:space="preserve">, </w:t>
      </w:r>
      <w:r>
        <w:rPr>
          <w:szCs w:val="20"/>
        </w:rPr>
        <w:t>Investigadora y Coordinadora de cam</w:t>
      </w:r>
      <w:r w:rsidRPr="00220A3D">
        <w:rPr>
          <w:szCs w:val="20"/>
        </w:rPr>
        <w:t>pañas</w:t>
      </w:r>
      <w:r w:rsidR="00BF4628" w:rsidRPr="00220A3D">
        <w:rPr>
          <w:szCs w:val="20"/>
        </w:rPr>
        <w:br/>
      </w:r>
      <w:r w:rsidR="00BF4628" w:rsidRPr="00220A3D">
        <w:rPr>
          <w:b/>
          <w:bCs/>
          <w:szCs w:val="20"/>
        </w:rPr>
        <w:t>Access Info Europe |</w:t>
      </w:r>
      <w:hyperlink r:id="rId11" w:history="1">
        <w:r w:rsidR="00BF4628" w:rsidRPr="00220A3D">
          <w:rPr>
            <w:rStyle w:val="Hipervnculo"/>
            <w:szCs w:val="20"/>
          </w:rPr>
          <w:t>http://www.access-info.org</w:t>
        </w:r>
      </w:hyperlink>
      <w:r w:rsidR="00BF4628" w:rsidRPr="00220A3D">
        <w:rPr>
          <w:szCs w:val="20"/>
        </w:rPr>
        <w:br/>
      </w:r>
      <w:r w:rsidR="00BF4628" w:rsidRPr="00220A3D">
        <w:rPr>
          <w:rStyle w:val="nfasis"/>
        </w:rPr>
        <w:t>Phone:</w:t>
      </w:r>
      <w:r w:rsidR="00BF4628" w:rsidRPr="00220A3D">
        <w:rPr>
          <w:szCs w:val="20"/>
        </w:rPr>
        <w:t xml:space="preserve"> +34 913 656 558</w:t>
      </w:r>
      <w:r w:rsidR="004919D9" w:rsidRPr="00220A3D">
        <w:rPr>
          <w:szCs w:val="20"/>
        </w:rPr>
        <w:br/>
      </w:r>
      <w:r w:rsidR="004919D9" w:rsidRPr="00220A3D">
        <w:rPr>
          <w:i/>
          <w:szCs w:val="20"/>
        </w:rPr>
        <w:t>Email</w:t>
      </w:r>
      <w:r w:rsidR="004919D9" w:rsidRPr="00220A3D">
        <w:rPr>
          <w:szCs w:val="20"/>
        </w:rPr>
        <w:t xml:space="preserve">: </w:t>
      </w:r>
      <w:hyperlink r:id="rId12" w:history="1">
        <w:r w:rsidRPr="00220A3D">
          <w:rPr>
            <w:rStyle w:val="Hipervnculo"/>
            <w:szCs w:val="20"/>
          </w:rPr>
          <w:t>alba@access-info.org</w:t>
        </w:r>
      </w:hyperlink>
    </w:p>
    <w:sectPr w:rsidR="00BF4628" w:rsidRPr="00220A3D" w:rsidSect="00955488">
      <w:footerReference w:type="default" r:id="rId13"/>
      <w:pgSz w:w="11906" w:h="16838"/>
      <w:pgMar w:top="1440" w:right="1080" w:bottom="1440" w:left="108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06141" w15:done="0"/>
  <w15:commentEx w15:paraId="312F7377" w15:done="0"/>
  <w15:commentEx w15:paraId="5DD65AB8" w15:done="0"/>
  <w15:commentEx w15:paraId="57BED8E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92" w:rsidRDefault="00DC7F92">
      <w:pPr>
        <w:spacing w:after="0" w:line="240" w:lineRule="auto"/>
      </w:pPr>
      <w:r>
        <w:separator/>
      </w:r>
    </w:p>
  </w:endnote>
  <w:endnote w:type="continuationSeparator" w:id="1">
    <w:p w:rsidR="00DC7F92" w:rsidRDefault="00DC7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5884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2FEE" w:rsidRDefault="00D63636">
        <w:pPr>
          <w:pStyle w:val="Piedepgina"/>
          <w:jc w:val="center"/>
        </w:pPr>
        <w:r>
          <w:fldChar w:fldCharType="begin"/>
        </w:r>
        <w:r w:rsidR="00A12FEE">
          <w:instrText xml:space="preserve"> PAGE   \* MERGEFORMAT </w:instrText>
        </w:r>
        <w:r>
          <w:fldChar w:fldCharType="separate"/>
        </w:r>
        <w:r w:rsidR="005427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2FEE" w:rsidRDefault="00A12F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92" w:rsidRDefault="00DC7F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DC7F92" w:rsidRDefault="00DC7F92">
      <w:pPr>
        <w:spacing w:after="0" w:line="240" w:lineRule="auto"/>
      </w:pPr>
      <w:r>
        <w:continuationSeparator/>
      </w:r>
    </w:p>
  </w:footnote>
  <w:footnote w:id="2">
    <w:p w:rsidR="00B26448" w:rsidRPr="00F9168B" w:rsidRDefault="00B26448" w:rsidP="00B26448">
      <w:pPr>
        <w:pStyle w:val="Textonotapie"/>
        <w:jc w:val="both"/>
        <w:rPr>
          <w:rFonts w:ascii="Calibri" w:hAnsi="Calibri"/>
        </w:rPr>
      </w:pPr>
      <w:r>
        <w:rPr>
          <w:rStyle w:val="Refdenotaalpie"/>
        </w:rPr>
        <w:footnoteRef/>
      </w:r>
      <w:r w:rsidRPr="00B26448">
        <w:rPr>
          <w:rFonts w:ascii="Tahoma" w:hAnsi="Tahoma" w:cs="Tahoma"/>
        </w:rPr>
        <w:t xml:space="preserve">Ley española se sitúa en el puesto 71 de los 102 países analizados a nivel mundial en el sistema de indicadores mundial RTI Rating </w:t>
      </w:r>
      <w:r w:rsidRPr="003D296C">
        <w:rPr>
          <w:rFonts w:ascii="Tahoma" w:hAnsi="Tahoma" w:cs="Tahoma"/>
        </w:rPr>
        <w:t>El RTI Rating es un sistema de indicadores elaborado conjuntamente entre “Centre For Law and Democracy” y “Access Info” y avalado por expertos internacionales en la materia de acceso a la información. Este sistema permite analizar y comparar la calidad de las leyes de acceso a la información de  cada país a la luz de los estándares de transparencia internacionales.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189"/>
    <w:multiLevelType w:val="hybridMultilevel"/>
    <w:tmpl w:val="E58832D2"/>
    <w:lvl w:ilvl="0" w:tplc="09FA08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454BC"/>
    <w:multiLevelType w:val="hybridMultilevel"/>
    <w:tmpl w:val="27E01C3C"/>
    <w:lvl w:ilvl="0" w:tplc="4D1EE5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769E2"/>
    <w:multiLevelType w:val="hybridMultilevel"/>
    <w:tmpl w:val="7E66A4CE"/>
    <w:lvl w:ilvl="0" w:tplc="214CE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en Darbishire">
    <w15:presenceInfo w15:providerId="Windows Live" w15:userId="9016fb486ed889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A7"/>
    <w:rsid w:val="00016C7E"/>
    <w:rsid w:val="00025FDB"/>
    <w:rsid w:val="00054FEF"/>
    <w:rsid w:val="000566B8"/>
    <w:rsid w:val="000568EC"/>
    <w:rsid w:val="00073C71"/>
    <w:rsid w:val="00076B10"/>
    <w:rsid w:val="00082FE2"/>
    <w:rsid w:val="00092586"/>
    <w:rsid w:val="00092C9B"/>
    <w:rsid w:val="00093C18"/>
    <w:rsid w:val="000F121F"/>
    <w:rsid w:val="00101261"/>
    <w:rsid w:val="00101C53"/>
    <w:rsid w:val="00101EDD"/>
    <w:rsid w:val="0012507E"/>
    <w:rsid w:val="00126C32"/>
    <w:rsid w:val="00136983"/>
    <w:rsid w:val="00153B28"/>
    <w:rsid w:val="00187507"/>
    <w:rsid w:val="00191EEB"/>
    <w:rsid w:val="001A337A"/>
    <w:rsid w:val="001B68E6"/>
    <w:rsid w:val="001C2F91"/>
    <w:rsid w:val="001E1BDC"/>
    <w:rsid w:val="001E24CC"/>
    <w:rsid w:val="001E3976"/>
    <w:rsid w:val="00204152"/>
    <w:rsid w:val="00212661"/>
    <w:rsid w:val="00212691"/>
    <w:rsid w:val="0021289D"/>
    <w:rsid w:val="00214DEF"/>
    <w:rsid w:val="00220A3D"/>
    <w:rsid w:val="00223130"/>
    <w:rsid w:val="00233E62"/>
    <w:rsid w:val="00245C80"/>
    <w:rsid w:val="00245D73"/>
    <w:rsid w:val="002925D5"/>
    <w:rsid w:val="00293E0F"/>
    <w:rsid w:val="002E09CD"/>
    <w:rsid w:val="00313A3A"/>
    <w:rsid w:val="00335C99"/>
    <w:rsid w:val="00343EE1"/>
    <w:rsid w:val="003613BF"/>
    <w:rsid w:val="00364EBF"/>
    <w:rsid w:val="00384A88"/>
    <w:rsid w:val="003B4AEF"/>
    <w:rsid w:val="003B70F2"/>
    <w:rsid w:val="003D296C"/>
    <w:rsid w:val="003D3ADA"/>
    <w:rsid w:val="003F2D0A"/>
    <w:rsid w:val="003F77F2"/>
    <w:rsid w:val="0040120A"/>
    <w:rsid w:val="00421C19"/>
    <w:rsid w:val="00421CF9"/>
    <w:rsid w:val="004377F8"/>
    <w:rsid w:val="0044335A"/>
    <w:rsid w:val="0044685B"/>
    <w:rsid w:val="00452552"/>
    <w:rsid w:val="004708F5"/>
    <w:rsid w:val="00475549"/>
    <w:rsid w:val="004919D9"/>
    <w:rsid w:val="004B1A6C"/>
    <w:rsid w:val="004B3BBB"/>
    <w:rsid w:val="004D0729"/>
    <w:rsid w:val="004E7AF5"/>
    <w:rsid w:val="0052014E"/>
    <w:rsid w:val="00530514"/>
    <w:rsid w:val="0053238E"/>
    <w:rsid w:val="00533010"/>
    <w:rsid w:val="005337A0"/>
    <w:rsid w:val="00536DF5"/>
    <w:rsid w:val="00540069"/>
    <w:rsid w:val="00542717"/>
    <w:rsid w:val="00570D12"/>
    <w:rsid w:val="00571D9C"/>
    <w:rsid w:val="0057275E"/>
    <w:rsid w:val="00582779"/>
    <w:rsid w:val="00594FD7"/>
    <w:rsid w:val="00595723"/>
    <w:rsid w:val="0059591B"/>
    <w:rsid w:val="005B65D6"/>
    <w:rsid w:val="005F69D3"/>
    <w:rsid w:val="00626046"/>
    <w:rsid w:val="00636963"/>
    <w:rsid w:val="00643B4B"/>
    <w:rsid w:val="00645BFC"/>
    <w:rsid w:val="00655493"/>
    <w:rsid w:val="006710F6"/>
    <w:rsid w:val="0068604D"/>
    <w:rsid w:val="006A146A"/>
    <w:rsid w:val="006B0263"/>
    <w:rsid w:val="006E2C5D"/>
    <w:rsid w:val="006E7C94"/>
    <w:rsid w:val="00761DF7"/>
    <w:rsid w:val="00770839"/>
    <w:rsid w:val="0077364F"/>
    <w:rsid w:val="0078485C"/>
    <w:rsid w:val="007B671B"/>
    <w:rsid w:val="007D4A99"/>
    <w:rsid w:val="007F1992"/>
    <w:rsid w:val="007F77B9"/>
    <w:rsid w:val="00800119"/>
    <w:rsid w:val="00812588"/>
    <w:rsid w:val="00821298"/>
    <w:rsid w:val="00841F6F"/>
    <w:rsid w:val="0085231A"/>
    <w:rsid w:val="00885809"/>
    <w:rsid w:val="008A6B4A"/>
    <w:rsid w:val="008B1615"/>
    <w:rsid w:val="008B1EE9"/>
    <w:rsid w:val="008B2C61"/>
    <w:rsid w:val="008E492A"/>
    <w:rsid w:val="008E5610"/>
    <w:rsid w:val="00907D0D"/>
    <w:rsid w:val="009146C6"/>
    <w:rsid w:val="009402AF"/>
    <w:rsid w:val="00955488"/>
    <w:rsid w:val="00963CD5"/>
    <w:rsid w:val="009755A7"/>
    <w:rsid w:val="009760CE"/>
    <w:rsid w:val="009A1D49"/>
    <w:rsid w:val="009A5C83"/>
    <w:rsid w:val="009A7B45"/>
    <w:rsid w:val="009B242E"/>
    <w:rsid w:val="009C24A3"/>
    <w:rsid w:val="009D69E0"/>
    <w:rsid w:val="009E5BD8"/>
    <w:rsid w:val="009F4B2A"/>
    <w:rsid w:val="00A12FEE"/>
    <w:rsid w:val="00A604EB"/>
    <w:rsid w:val="00A67A9A"/>
    <w:rsid w:val="00A87306"/>
    <w:rsid w:val="00A94615"/>
    <w:rsid w:val="00AD4D2E"/>
    <w:rsid w:val="00AE4504"/>
    <w:rsid w:val="00AF6D86"/>
    <w:rsid w:val="00B0553E"/>
    <w:rsid w:val="00B05785"/>
    <w:rsid w:val="00B06DBE"/>
    <w:rsid w:val="00B11507"/>
    <w:rsid w:val="00B24BD5"/>
    <w:rsid w:val="00B26448"/>
    <w:rsid w:val="00B441F0"/>
    <w:rsid w:val="00B53132"/>
    <w:rsid w:val="00B74473"/>
    <w:rsid w:val="00B93687"/>
    <w:rsid w:val="00BA469C"/>
    <w:rsid w:val="00BB4F8E"/>
    <w:rsid w:val="00BB66BA"/>
    <w:rsid w:val="00BB7429"/>
    <w:rsid w:val="00BE4DC5"/>
    <w:rsid w:val="00BE6B59"/>
    <w:rsid w:val="00BF4628"/>
    <w:rsid w:val="00BF5BCC"/>
    <w:rsid w:val="00C2364E"/>
    <w:rsid w:val="00C27340"/>
    <w:rsid w:val="00C30BFF"/>
    <w:rsid w:val="00C31062"/>
    <w:rsid w:val="00C354CB"/>
    <w:rsid w:val="00C5740E"/>
    <w:rsid w:val="00CE1D13"/>
    <w:rsid w:val="00CE24A6"/>
    <w:rsid w:val="00CF1B8E"/>
    <w:rsid w:val="00CF69CA"/>
    <w:rsid w:val="00D27209"/>
    <w:rsid w:val="00D366C0"/>
    <w:rsid w:val="00D5426F"/>
    <w:rsid w:val="00D63636"/>
    <w:rsid w:val="00D80BEB"/>
    <w:rsid w:val="00D83107"/>
    <w:rsid w:val="00DC20D4"/>
    <w:rsid w:val="00DC2DFF"/>
    <w:rsid w:val="00DC7F92"/>
    <w:rsid w:val="00DF298C"/>
    <w:rsid w:val="00DF5B81"/>
    <w:rsid w:val="00E33984"/>
    <w:rsid w:val="00E37D32"/>
    <w:rsid w:val="00E448DE"/>
    <w:rsid w:val="00E460C0"/>
    <w:rsid w:val="00E47CF9"/>
    <w:rsid w:val="00E73D80"/>
    <w:rsid w:val="00E75BDB"/>
    <w:rsid w:val="00E85F38"/>
    <w:rsid w:val="00E87584"/>
    <w:rsid w:val="00E912AE"/>
    <w:rsid w:val="00EB2E79"/>
    <w:rsid w:val="00EB31F4"/>
    <w:rsid w:val="00EB6B81"/>
    <w:rsid w:val="00ED0193"/>
    <w:rsid w:val="00ED0CE8"/>
    <w:rsid w:val="00ED1E57"/>
    <w:rsid w:val="00ED73B7"/>
    <w:rsid w:val="00EE08FF"/>
    <w:rsid w:val="00EF3455"/>
    <w:rsid w:val="00F02CD4"/>
    <w:rsid w:val="00F153EC"/>
    <w:rsid w:val="00F205BC"/>
    <w:rsid w:val="00F41276"/>
    <w:rsid w:val="00F41E5A"/>
    <w:rsid w:val="00F834DD"/>
    <w:rsid w:val="00F912AC"/>
    <w:rsid w:val="00F9168B"/>
    <w:rsid w:val="00F948A6"/>
    <w:rsid w:val="00F9729A"/>
    <w:rsid w:val="00FC11C7"/>
    <w:rsid w:val="00FC3304"/>
    <w:rsid w:val="00FC3741"/>
    <w:rsid w:val="00FD3AE4"/>
    <w:rsid w:val="00FE7679"/>
    <w:rsid w:val="00FF2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55488"/>
    <w:pPr>
      <w:suppressAutoHyphens/>
      <w:spacing w:line="300" w:lineRule="exact"/>
    </w:pPr>
    <w:rPr>
      <w:rFonts w:ascii="Verdana" w:eastAsia="Times New Roman" w:hAnsi="Verdana"/>
      <w:spacing w:val="-1"/>
      <w:sz w:val="20"/>
      <w:lang w:val="es-ES" w:eastAsia="es-ES"/>
    </w:rPr>
  </w:style>
  <w:style w:type="paragraph" w:styleId="Ttulo1">
    <w:name w:val="heading 1"/>
    <w:basedOn w:val="Normal"/>
    <w:next w:val="Normal"/>
    <w:rsid w:val="00955488"/>
    <w:pPr>
      <w:widowControl w:val="0"/>
      <w:autoSpaceDE w:val="0"/>
      <w:jc w:val="center"/>
      <w:outlineLvl w:val="0"/>
    </w:pPr>
    <w:rPr>
      <w:rFonts w:ascii="Trebuchet MS" w:hAnsi="Trebuchet MS" w:cs="Trebuchet MS"/>
      <w:b/>
      <w:bCs/>
      <w:color w:val="E3220E"/>
      <w:sz w:val="28"/>
      <w:szCs w:val="20"/>
    </w:rPr>
  </w:style>
  <w:style w:type="paragraph" w:styleId="Ttulo3">
    <w:name w:val="heading 3"/>
    <w:basedOn w:val="Normal"/>
    <w:next w:val="Normal"/>
    <w:rsid w:val="0095548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5488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rsid w:val="00955488"/>
    <w:rPr>
      <w:color w:val="0000FF"/>
      <w:u w:val="single"/>
    </w:rPr>
  </w:style>
  <w:style w:type="character" w:customStyle="1" w:styleId="Ttulo1Car">
    <w:name w:val="Título 1 Car"/>
    <w:basedOn w:val="Fuentedeprrafopredeter"/>
    <w:rsid w:val="00955488"/>
    <w:rPr>
      <w:rFonts w:ascii="Trebuchet MS" w:eastAsia="Times New Roman" w:hAnsi="Trebuchet MS" w:cs="Trebuchet MS"/>
      <w:b/>
      <w:bCs/>
      <w:color w:val="E3220E"/>
      <w:spacing w:val="-1"/>
      <w:sz w:val="28"/>
      <w:szCs w:val="20"/>
      <w:lang w:val="es-ES" w:eastAsia="es-ES"/>
    </w:rPr>
  </w:style>
  <w:style w:type="character" w:customStyle="1" w:styleId="normal10">
    <w:name w:val="normal10"/>
    <w:basedOn w:val="Fuentedeprrafopredeter"/>
    <w:rsid w:val="00955488"/>
  </w:style>
  <w:style w:type="character" w:styleId="Hipervnculovisitado">
    <w:name w:val="FollowedHyperlink"/>
    <w:basedOn w:val="Fuentedeprrafopredeter"/>
    <w:rsid w:val="00955488"/>
    <w:rPr>
      <w:color w:val="800080"/>
      <w:u w:val="single"/>
    </w:rPr>
  </w:style>
  <w:style w:type="character" w:customStyle="1" w:styleId="Ttulo3Car">
    <w:name w:val="Título 3 Car"/>
    <w:basedOn w:val="Fuentedeprrafopredeter"/>
    <w:rsid w:val="00955488"/>
    <w:rPr>
      <w:rFonts w:ascii="Cambria" w:eastAsia="Times New Roman" w:hAnsi="Cambria" w:cs="Times New Roman"/>
      <w:b/>
      <w:bCs/>
      <w:color w:val="4F81BD"/>
      <w:spacing w:val="-1"/>
      <w:sz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C33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330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3304"/>
    <w:rPr>
      <w:rFonts w:ascii="Verdana" w:eastAsia="Times New Roman" w:hAnsi="Verdana"/>
      <w:spacing w:val="-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33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3304"/>
    <w:rPr>
      <w:rFonts w:ascii="Verdana" w:eastAsia="Times New Roman" w:hAnsi="Verdana"/>
      <w:b/>
      <w:bCs/>
      <w:spacing w:val="-1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304"/>
    <w:rPr>
      <w:rFonts w:ascii="Segoe UI" w:eastAsia="Times New Roman" w:hAnsi="Segoe UI" w:cs="Segoe UI"/>
      <w:spacing w:val="-1"/>
      <w:sz w:val="18"/>
      <w:szCs w:val="18"/>
      <w:lang w:val="es-ES" w:eastAsia="es-ES"/>
    </w:rPr>
  </w:style>
  <w:style w:type="character" w:customStyle="1" w:styleId="FootnoteChar">
    <w:name w:val="Footnote Char"/>
    <w:basedOn w:val="Fuentedeprrafopredeter"/>
    <w:link w:val="Footnote"/>
    <w:locked/>
    <w:rsid w:val="001A337A"/>
    <w:rPr>
      <w:rFonts w:ascii="Trebuchet MS" w:eastAsia="ヒラギノ角ゴ Pro W3" w:hAnsi="Trebuchet MS"/>
      <w:color w:val="000000"/>
    </w:rPr>
  </w:style>
  <w:style w:type="paragraph" w:customStyle="1" w:styleId="Footnote">
    <w:name w:val="Footnote"/>
    <w:link w:val="FootnoteChar"/>
    <w:qFormat/>
    <w:rsid w:val="001A337A"/>
    <w:pPr>
      <w:suppressAutoHyphens/>
      <w:autoSpaceDN/>
      <w:spacing w:after="0" w:line="260" w:lineRule="exact"/>
      <w:textAlignment w:val="auto"/>
    </w:pPr>
    <w:rPr>
      <w:rFonts w:ascii="Trebuchet MS" w:eastAsia="ヒラギノ角ゴ Pro W3" w:hAnsi="Trebuchet MS"/>
      <w:color w:val="000000"/>
    </w:rPr>
  </w:style>
  <w:style w:type="character" w:styleId="nfasis">
    <w:name w:val="Emphasis"/>
    <w:basedOn w:val="Fuentedeprrafopredeter"/>
    <w:uiPriority w:val="20"/>
    <w:qFormat/>
    <w:rsid w:val="00BF4628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1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2FEE"/>
    <w:rPr>
      <w:rFonts w:ascii="Verdana" w:eastAsia="Times New Roman" w:hAnsi="Verdana"/>
      <w:spacing w:val="-1"/>
      <w:sz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2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FEE"/>
    <w:rPr>
      <w:rFonts w:ascii="Verdana" w:eastAsia="Times New Roman" w:hAnsi="Verdana"/>
      <w:spacing w:val="-1"/>
      <w:sz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D296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D296C"/>
    <w:rPr>
      <w:rFonts w:ascii="Verdana" w:eastAsia="Times New Roman" w:hAnsi="Verdana"/>
      <w:spacing w:val="-1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D296C"/>
    <w:rPr>
      <w:vertAlign w:val="superscript"/>
    </w:rPr>
  </w:style>
  <w:style w:type="paragraph" w:styleId="Prrafodelista">
    <w:name w:val="List Paragraph"/>
    <w:basedOn w:val="Normal"/>
    <w:uiPriority w:val="34"/>
    <w:qFormat/>
    <w:rsid w:val="00214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ba@access-info.org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ess-inf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bbyingtransparency.net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opendatacharter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A3825F6-BC44-4127-B15C-E1FEAC14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2999</Words>
  <Characters>16495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alicia</cp:lastModifiedBy>
  <cp:revision>2</cp:revision>
  <dcterms:created xsi:type="dcterms:W3CDTF">2016-03-09T14:59:00Z</dcterms:created>
  <dcterms:modified xsi:type="dcterms:W3CDTF">2016-03-09T14:59:00Z</dcterms:modified>
</cp:coreProperties>
</file>