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CA" w:rsidRDefault="004326CA" w:rsidP="00501223">
      <w:pPr>
        <w:spacing w:line="360" w:lineRule="auto"/>
        <w:rPr>
          <w:lang w:val="es-ES"/>
        </w:rPr>
      </w:pPr>
      <w:bookmarkStart w:id="0" w:name="_GoBack"/>
      <w:bookmarkEnd w:id="0"/>
    </w:p>
    <w:p w:rsidR="004326CA" w:rsidRPr="000D7C8E" w:rsidRDefault="004326CA" w:rsidP="000D7C8E">
      <w:pPr>
        <w:pStyle w:val="Ttulo1"/>
        <w:spacing w:before="0" w:after="360" w:line="360" w:lineRule="auto"/>
        <w:jc w:val="center"/>
        <w:rPr>
          <w:rFonts w:ascii="Trebuchet MS" w:hAnsi="Trebuchet MS"/>
          <w:color w:val="365F91"/>
          <w:lang w:val="es-ES"/>
        </w:rPr>
      </w:pPr>
      <w:r w:rsidRPr="000D7C8E">
        <w:rPr>
          <w:rFonts w:ascii="Trebuchet MS" w:hAnsi="Trebuchet MS"/>
          <w:color w:val="365F91"/>
          <w:lang w:val="es-ES"/>
        </w:rPr>
        <w:t>El fenómeno de las puertas giratorias</w:t>
      </w:r>
    </w:p>
    <w:p w:rsidR="004326CA" w:rsidRDefault="004326CA" w:rsidP="004326CA">
      <w:pPr>
        <w:spacing w:line="360" w:lineRule="auto"/>
        <w:rPr>
          <w:i/>
          <w:lang w:val="es-ES"/>
        </w:rPr>
      </w:pPr>
      <w:r w:rsidRPr="00FA62D3">
        <w:rPr>
          <w:i/>
          <w:lang w:val="es-ES"/>
        </w:rPr>
        <w:t xml:space="preserve">Por Helen Darbishire, Victoria Anderica and Kim </w:t>
      </w:r>
      <w:proofErr w:type="spellStart"/>
      <w:r w:rsidRPr="00FA62D3">
        <w:rPr>
          <w:i/>
          <w:lang w:val="es-ES"/>
        </w:rPr>
        <w:t>Netzell</w:t>
      </w:r>
      <w:proofErr w:type="spellEnd"/>
      <w:r w:rsidRPr="00FA62D3">
        <w:rPr>
          <w:i/>
          <w:lang w:val="es-ES"/>
        </w:rPr>
        <w:t xml:space="preserve">,  Access Info Europe </w:t>
      </w:r>
    </w:p>
    <w:p w:rsidR="004326CA" w:rsidRPr="00142DF8" w:rsidRDefault="004326CA" w:rsidP="004326CA">
      <w:pPr>
        <w:spacing w:line="360" w:lineRule="auto"/>
        <w:rPr>
          <w:i/>
          <w:lang w:val="es-ES"/>
        </w:rPr>
      </w:pPr>
      <w:r>
        <w:rPr>
          <w:i/>
          <w:lang w:val="es-ES"/>
        </w:rPr>
        <w:t>Este artículo fue inicialmente publicado</w:t>
      </w:r>
      <w:r w:rsidR="00F0196F">
        <w:rPr>
          <w:i/>
          <w:lang w:val="es-ES"/>
        </w:rPr>
        <w:t xml:space="preserve"> en 2013</w:t>
      </w:r>
      <w:r>
        <w:rPr>
          <w:i/>
          <w:lang w:val="es-ES"/>
        </w:rPr>
        <w:t xml:space="preserve"> en </w:t>
      </w:r>
      <w:r w:rsidRPr="001C7D94">
        <w:rPr>
          <w:i/>
        </w:rPr>
        <w:t xml:space="preserve">el libro realizado por el </w:t>
      </w:r>
      <w:hyperlink r:id="rId9" w:tgtFrame="_blank" w:history="1">
        <w:r w:rsidRPr="001C7D94">
          <w:rPr>
            <w:rStyle w:val="Hipervnculo"/>
            <w:i/>
          </w:rPr>
          <w:t>Foro Empresarial APRI</w:t>
        </w:r>
      </w:hyperlink>
      <w:r>
        <w:t xml:space="preserve">, </w:t>
      </w:r>
      <w:r w:rsidRPr="001C7D94">
        <w:rPr>
          <w:i/>
        </w:rPr>
        <w:t>El Lobby en España ¿asignatura pendiente?,</w:t>
      </w:r>
      <w:r>
        <w:t xml:space="preserve"> </w:t>
      </w:r>
      <w:r w:rsidRPr="001C7D94">
        <w:rPr>
          <w:i/>
        </w:rPr>
        <w:t xml:space="preserve">publicado por la editorial </w:t>
      </w:r>
      <w:hyperlink r:id="rId10" w:tgtFrame="_blank" w:history="1">
        <w:proofErr w:type="spellStart"/>
        <w:r w:rsidRPr="001C7D94">
          <w:rPr>
            <w:rStyle w:val="Hipervnculo"/>
            <w:i/>
          </w:rPr>
          <w:t>Algón</w:t>
        </w:r>
        <w:proofErr w:type="spellEnd"/>
        <w:r w:rsidRPr="001C7D94">
          <w:rPr>
            <w:rStyle w:val="Hipervnculo"/>
            <w:i/>
          </w:rPr>
          <w:t xml:space="preserve"> Editores</w:t>
        </w:r>
      </w:hyperlink>
    </w:p>
    <w:p w:rsidR="004326CA" w:rsidRDefault="000D7C8E" w:rsidP="00501223">
      <w:pPr>
        <w:spacing w:line="360" w:lineRule="auto"/>
        <w:rPr>
          <w:lang w:val="es-ES"/>
        </w:rPr>
      </w:pPr>
      <w:r>
        <w:rPr>
          <w:noProof/>
          <w:lang w:val="es-ES" w:eastAsia="es-ES"/>
        </w:rPr>
        <w:drawing>
          <wp:anchor distT="0" distB="0" distL="114300" distR="114300" simplePos="0" relativeHeight="251657216" behindDoc="0" locked="0" layoutInCell="1" allowOverlap="1" wp14:anchorId="601412A4" wp14:editId="7D1BFD7C">
            <wp:simplePos x="0" y="0"/>
            <wp:positionH relativeFrom="column">
              <wp:posOffset>952500</wp:posOffset>
            </wp:positionH>
            <wp:positionV relativeFrom="paragraph">
              <wp:posOffset>304800</wp:posOffset>
            </wp:positionV>
            <wp:extent cx="3324225" cy="25336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324225" cy="2533650"/>
                    </a:xfrm>
                    <a:prstGeom prst="rect">
                      <a:avLst/>
                    </a:prstGeom>
                    <a:solidFill>
                      <a:srgbClr val="FFFFFF"/>
                    </a:solidFill>
                    <a:ln w="9525">
                      <a:noFill/>
                      <a:miter lim="800000"/>
                      <a:headEnd/>
                      <a:tailEnd/>
                    </a:ln>
                  </pic:spPr>
                </pic:pic>
              </a:graphicData>
            </a:graphic>
          </wp:anchor>
        </w:drawing>
      </w:r>
    </w:p>
    <w:p w:rsidR="006215F3" w:rsidRPr="00FA62D3" w:rsidRDefault="006215F3" w:rsidP="00501223">
      <w:pPr>
        <w:spacing w:line="360" w:lineRule="auto"/>
        <w:rPr>
          <w:lang w:val="es-ES"/>
        </w:rPr>
      </w:pPr>
    </w:p>
    <w:p w:rsidR="006215F3" w:rsidRPr="00FA62D3" w:rsidRDefault="006215F3" w:rsidP="00501223">
      <w:pPr>
        <w:spacing w:line="360" w:lineRule="auto"/>
        <w:rPr>
          <w:lang w:val="es-ES"/>
        </w:rPr>
      </w:pPr>
    </w:p>
    <w:p w:rsidR="00114971" w:rsidRPr="00FA62D3" w:rsidRDefault="00114971" w:rsidP="00501223">
      <w:pPr>
        <w:spacing w:line="360" w:lineRule="auto"/>
        <w:rPr>
          <w:lang w:val="es-ES"/>
        </w:rPr>
      </w:pPr>
    </w:p>
    <w:p w:rsidR="00114971" w:rsidRPr="00FA62D3" w:rsidRDefault="00114971" w:rsidP="00501223">
      <w:pPr>
        <w:spacing w:line="360" w:lineRule="auto"/>
        <w:rPr>
          <w:lang w:val="es-ES"/>
        </w:rPr>
      </w:pPr>
    </w:p>
    <w:p w:rsidR="00114971" w:rsidRPr="00FA62D3" w:rsidRDefault="00114971" w:rsidP="00501223">
      <w:pPr>
        <w:spacing w:line="360" w:lineRule="auto"/>
        <w:rPr>
          <w:lang w:val="es-ES"/>
        </w:rPr>
      </w:pPr>
    </w:p>
    <w:p w:rsidR="00114971" w:rsidRPr="00FA62D3" w:rsidRDefault="00114971" w:rsidP="00501223">
      <w:pPr>
        <w:spacing w:line="360" w:lineRule="auto"/>
        <w:rPr>
          <w:lang w:val="es-ES"/>
        </w:rPr>
      </w:pPr>
    </w:p>
    <w:p w:rsidR="006215F3" w:rsidRDefault="006215F3" w:rsidP="00501223">
      <w:pPr>
        <w:spacing w:line="360" w:lineRule="auto"/>
        <w:rPr>
          <w:lang w:val="es-ES"/>
        </w:rPr>
      </w:pPr>
    </w:p>
    <w:p w:rsidR="00265C5C" w:rsidRPr="00501223" w:rsidRDefault="00265C5C" w:rsidP="000D7C8E">
      <w:pPr>
        <w:spacing w:after="0" w:line="276" w:lineRule="auto"/>
        <w:jc w:val="center"/>
        <w:rPr>
          <w:lang w:val="es-ES"/>
        </w:rPr>
      </w:pPr>
      <w:r w:rsidRPr="00501223">
        <w:rPr>
          <w:lang w:val="es-ES"/>
        </w:rPr>
        <w:t>El impenetrable muro/cortafuegos entre el servicio público y el beneficio privado.</w:t>
      </w:r>
    </w:p>
    <w:p w:rsidR="00265C5C" w:rsidRPr="00300FC4" w:rsidRDefault="00122194" w:rsidP="000D7C8E">
      <w:pPr>
        <w:spacing w:line="276" w:lineRule="auto"/>
        <w:jc w:val="center"/>
        <w:rPr>
          <w:lang w:val="es-ES"/>
        </w:rPr>
      </w:pPr>
      <w:r w:rsidRPr="00300FC4">
        <w:rPr>
          <w:lang w:val="es-ES"/>
        </w:rPr>
        <w:t>Fuente: Global Research</w:t>
      </w:r>
      <w:r w:rsidR="004326CA">
        <w:rPr>
          <w:rStyle w:val="Refdenotaalpie"/>
          <w:lang w:val="en-US"/>
        </w:rPr>
        <w:footnoteReference w:id="1"/>
      </w:r>
    </w:p>
    <w:p w:rsidR="000D7C8E" w:rsidRPr="00300FC4" w:rsidRDefault="000D7C8E" w:rsidP="000D7C8E">
      <w:pPr>
        <w:spacing w:line="276" w:lineRule="auto"/>
        <w:jc w:val="center"/>
        <w:rPr>
          <w:lang w:val="es-ES"/>
        </w:rPr>
      </w:pPr>
    </w:p>
    <w:p w:rsidR="000D7C8E" w:rsidRDefault="000D7C8E">
      <w:pPr>
        <w:suppressAutoHyphens w:val="0"/>
        <w:spacing w:after="0" w:line="240" w:lineRule="auto"/>
        <w:rPr>
          <w:lang w:val="es-ES"/>
        </w:rPr>
      </w:pPr>
      <w:r>
        <w:rPr>
          <w:lang w:val="es-ES"/>
        </w:rPr>
        <w:br w:type="page"/>
      </w:r>
    </w:p>
    <w:p w:rsidR="00280E0A" w:rsidRPr="00FA62D3" w:rsidRDefault="00EC0404" w:rsidP="00501223">
      <w:pPr>
        <w:spacing w:line="360" w:lineRule="auto"/>
        <w:rPr>
          <w:lang w:val="es-ES"/>
        </w:rPr>
      </w:pPr>
      <w:r w:rsidRPr="00FA62D3">
        <w:rPr>
          <w:lang w:val="es-ES"/>
        </w:rPr>
        <w:lastRenderedPageBreak/>
        <w:t>La s</w:t>
      </w:r>
      <w:r w:rsidR="00827F25" w:rsidRPr="00FA62D3">
        <w:rPr>
          <w:lang w:val="es-ES"/>
        </w:rPr>
        <w:t>ociedad europea está preocupada por la influencia que ejercen las empresas sobre las políticas europeas. Así lo revelaba una encuesta que realizó Access Info Europe, ONG que traba</w:t>
      </w:r>
      <w:r w:rsidR="00280E0A" w:rsidRPr="00FA62D3">
        <w:rPr>
          <w:lang w:val="es-ES"/>
        </w:rPr>
        <w:t>ja por el derecho de acceso a</w:t>
      </w:r>
      <w:r w:rsidR="00827F25" w:rsidRPr="00FA62D3">
        <w:rPr>
          <w:lang w:val="es-ES"/>
        </w:rPr>
        <w:t xml:space="preserve"> información y la transparencia</w:t>
      </w:r>
      <w:r w:rsidR="00C74F2C" w:rsidRPr="00FA62D3">
        <w:rPr>
          <w:lang w:val="es-ES"/>
        </w:rPr>
        <w:t>, en enero de 2013 entre más de 6000 ciudadanos europeos</w:t>
      </w:r>
      <w:r w:rsidR="00827F25" w:rsidRPr="00FA62D3">
        <w:rPr>
          <w:lang w:val="es-ES"/>
        </w:rPr>
        <w:t>.</w:t>
      </w:r>
      <w:r w:rsidR="00D62E97" w:rsidRPr="00FA62D3">
        <w:rPr>
          <w:lang w:val="es-ES"/>
        </w:rPr>
        <w:t xml:space="preserve"> </w:t>
      </w:r>
      <w:r w:rsidR="00280E0A" w:rsidRPr="00FA62D3">
        <w:rPr>
          <w:lang w:val="es-ES"/>
        </w:rPr>
        <w:t xml:space="preserve">Esta influencia se ve incrementada por la falta de regulación de la actividad lobby y por los saltos que van dando los funcionarios entre el mundo laboral público y privado, lo que se suele denominar como el fenómeno de las </w:t>
      </w:r>
      <w:r w:rsidR="00280E0A" w:rsidRPr="00464EBC">
        <w:rPr>
          <w:i/>
          <w:lang w:val="es-ES"/>
        </w:rPr>
        <w:t>puertas giratorias</w:t>
      </w:r>
      <w:r w:rsidR="00280E0A" w:rsidRPr="00FA62D3">
        <w:rPr>
          <w:lang w:val="es-ES"/>
        </w:rPr>
        <w:t>. Un problema relativamente nuevo con el que al parecer no sabemos muy bien qué hacer.</w:t>
      </w:r>
    </w:p>
    <w:p w:rsidR="00A418DB" w:rsidRPr="00FA62D3" w:rsidRDefault="00D62E97" w:rsidP="00501223">
      <w:pPr>
        <w:spacing w:line="360" w:lineRule="auto"/>
        <w:rPr>
          <w:lang w:val="es-ES"/>
        </w:rPr>
      </w:pPr>
      <w:r w:rsidRPr="00FA62D3">
        <w:rPr>
          <w:lang w:val="es-ES"/>
        </w:rPr>
        <w:t>Los resultados de esta encuesta muestran c</w:t>
      </w:r>
      <w:r w:rsidR="00265C5C">
        <w:rPr>
          <w:lang w:val="es-ES"/>
        </w:rPr>
        <w:t>ó</w:t>
      </w:r>
      <w:r w:rsidRPr="00FA62D3">
        <w:rPr>
          <w:lang w:val="es-ES"/>
        </w:rPr>
        <w:t xml:space="preserve">mo tres cuartas partes de los ciudadanos </w:t>
      </w:r>
      <w:r w:rsidR="002A2D34" w:rsidRPr="00FA62D3">
        <w:rPr>
          <w:lang w:val="es-ES"/>
        </w:rPr>
        <w:t>de la UE</w:t>
      </w:r>
      <w:r w:rsidR="00827F25" w:rsidRPr="00FA62D3">
        <w:rPr>
          <w:lang w:val="es-ES"/>
        </w:rPr>
        <w:t xml:space="preserve"> </w:t>
      </w:r>
      <w:r w:rsidRPr="00FA62D3">
        <w:rPr>
          <w:lang w:val="es-ES"/>
        </w:rPr>
        <w:t xml:space="preserve">(77%) cree que el lobby puede </w:t>
      </w:r>
      <w:r w:rsidR="00464EBC">
        <w:rPr>
          <w:lang w:val="es-ES"/>
        </w:rPr>
        <w:t>tener como resultado</w:t>
      </w:r>
      <w:r w:rsidRPr="00FA62D3">
        <w:rPr>
          <w:lang w:val="es-ES"/>
        </w:rPr>
        <w:t xml:space="preserve"> políticas que</w:t>
      </w:r>
      <w:r w:rsidR="00AF5E0A" w:rsidRPr="00FA62D3">
        <w:rPr>
          <w:lang w:val="es-ES"/>
        </w:rPr>
        <w:t xml:space="preserve"> no sean de interés público</w:t>
      </w:r>
      <w:r w:rsidRPr="00FA62D3">
        <w:rPr>
          <w:lang w:val="es-ES"/>
        </w:rPr>
        <w:t>, y como 4 de cada 5 (80%) piensa que debería existir una regulación de la actividad lobby en Europa.</w:t>
      </w:r>
      <w:r w:rsidR="00280E0A" w:rsidRPr="00FA62D3">
        <w:rPr>
          <w:lang w:val="es-ES"/>
        </w:rPr>
        <w:t xml:space="preserve"> </w:t>
      </w:r>
      <w:r w:rsidRPr="00FA62D3">
        <w:rPr>
          <w:lang w:val="es-ES"/>
        </w:rPr>
        <w:t>Esta preocupación puede desembocar en una pérdida de confianza en las instituciones públicas sí los ciudadanos perciben que sus intereses no siempre están siendo defendidos apropiadamente</w:t>
      </w:r>
      <w:r w:rsidR="002D2073" w:rsidRPr="00FA62D3">
        <w:rPr>
          <w:lang w:val="es-ES"/>
        </w:rPr>
        <w:t>, y en m</w:t>
      </w:r>
      <w:r w:rsidR="00E42B32" w:rsidRPr="00FA62D3">
        <w:rPr>
          <w:lang w:val="es-ES"/>
        </w:rPr>
        <w:t>edio</w:t>
      </w:r>
      <w:r w:rsidR="002D2073" w:rsidRPr="00FA62D3">
        <w:rPr>
          <w:lang w:val="es-ES"/>
        </w:rPr>
        <w:t xml:space="preserve"> </w:t>
      </w:r>
      <w:r w:rsidR="00916F93" w:rsidRPr="00FA62D3">
        <w:rPr>
          <w:lang w:val="es-ES"/>
        </w:rPr>
        <w:t xml:space="preserve">de una </w:t>
      </w:r>
      <w:r w:rsidR="001F2331" w:rsidRPr="00FA62D3">
        <w:rPr>
          <w:lang w:val="es-ES"/>
        </w:rPr>
        <w:t xml:space="preserve">profunda crisis económica </w:t>
      </w:r>
      <w:r w:rsidR="00916F93" w:rsidRPr="00FA62D3">
        <w:rPr>
          <w:lang w:val="es-ES"/>
        </w:rPr>
        <w:t xml:space="preserve">que ha </w:t>
      </w:r>
      <w:r w:rsidR="001F2331" w:rsidRPr="00FA62D3">
        <w:rPr>
          <w:lang w:val="es-ES"/>
        </w:rPr>
        <w:t>generado una crisis de legitim</w:t>
      </w:r>
      <w:r w:rsidR="00E42B32" w:rsidRPr="00FA62D3">
        <w:rPr>
          <w:lang w:val="es-ES"/>
        </w:rPr>
        <w:t>i</w:t>
      </w:r>
      <w:r w:rsidR="001F2331" w:rsidRPr="00FA62D3">
        <w:rPr>
          <w:lang w:val="es-ES"/>
        </w:rPr>
        <w:t>d</w:t>
      </w:r>
      <w:r w:rsidR="00E42B32" w:rsidRPr="00FA62D3">
        <w:rPr>
          <w:lang w:val="es-ES"/>
        </w:rPr>
        <w:t>ad</w:t>
      </w:r>
      <w:r w:rsidR="001F2331" w:rsidRPr="00FA62D3">
        <w:rPr>
          <w:lang w:val="es-ES"/>
        </w:rPr>
        <w:t xml:space="preserve"> </w:t>
      </w:r>
      <w:r w:rsidR="00E42B32" w:rsidRPr="00FA62D3">
        <w:rPr>
          <w:lang w:val="es-ES"/>
        </w:rPr>
        <w:t>de las</w:t>
      </w:r>
      <w:r w:rsidR="001F2331" w:rsidRPr="00FA62D3">
        <w:rPr>
          <w:lang w:val="es-ES"/>
        </w:rPr>
        <w:t xml:space="preserve"> instituciones públicas</w:t>
      </w:r>
      <w:r w:rsidR="00C42D87" w:rsidRPr="00FA62D3">
        <w:rPr>
          <w:lang w:val="es-ES"/>
        </w:rPr>
        <w:t xml:space="preserve">, </w:t>
      </w:r>
      <w:r w:rsidR="002D2073" w:rsidRPr="00FA62D3">
        <w:rPr>
          <w:lang w:val="es-ES"/>
        </w:rPr>
        <w:t xml:space="preserve">restaurar </w:t>
      </w:r>
      <w:r w:rsidR="00E42B32" w:rsidRPr="00FA62D3">
        <w:rPr>
          <w:lang w:val="es-ES"/>
        </w:rPr>
        <w:t xml:space="preserve">la </w:t>
      </w:r>
      <w:r w:rsidR="002D2073" w:rsidRPr="00FA62D3">
        <w:rPr>
          <w:lang w:val="es-ES"/>
        </w:rPr>
        <w:t xml:space="preserve">confianza </w:t>
      </w:r>
      <w:r w:rsidR="00827F25" w:rsidRPr="00FA62D3">
        <w:rPr>
          <w:lang w:val="es-ES"/>
        </w:rPr>
        <w:t>se ha convertido en un punto clave de la agenda política</w:t>
      </w:r>
      <w:r w:rsidR="00E42B32" w:rsidRPr="00FA62D3">
        <w:rPr>
          <w:lang w:val="es-ES"/>
        </w:rPr>
        <w:t>.</w:t>
      </w:r>
    </w:p>
    <w:p w:rsidR="002D2073" w:rsidRPr="00FA62D3" w:rsidRDefault="002D2073" w:rsidP="00501223">
      <w:pPr>
        <w:spacing w:line="360" w:lineRule="auto"/>
        <w:rPr>
          <w:lang w:val="es-ES"/>
        </w:rPr>
      </w:pPr>
      <w:r w:rsidRPr="00FA62D3">
        <w:rPr>
          <w:bCs/>
          <w:lang w:val="es-ES"/>
        </w:rPr>
        <w:t>La</w:t>
      </w:r>
      <w:r w:rsidRPr="00FA62D3">
        <w:rPr>
          <w:lang w:val="es-ES"/>
        </w:rPr>
        <w:t xml:space="preserve"> Organización para la Cooperación y el Desarrollo Económico (OCDE) en junio de 2013 destacó que “</w:t>
      </w:r>
      <w:r w:rsidRPr="00FA62D3">
        <w:rPr>
          <w:i/>
          <w:lang w:val="es-ES"/>
        </w:rPr>
        <w:t>en el despertar de una crisis global donde la protección del interés público ha sido cuestionada de forma mundial, hay una creciente necesidad de valorar el progreso alcanzado para garantizar un proceso de toma de decisiones abierto, balanceado y con un público informado</w:t>
      </w:r>
      <w:r w:rsidRPr="00FA62D3">
        <w:rPr>
          <w:lang w:val="es-ES"/>
        </w:rPr>
        <w:t>.”</w:t>
      </w:r>
      <w:r w:rsidRPr="00FA62D3">
        <w:rPr>
          <w:rStyle w:val="Refdenotaalpie"/>
          <w:lang w:val="es-ES"/>
        </w:rPr>
        <w:footnoteReference w:id="2"/>
      </w:r>
    </w:p>
    <w:p w:rsidR="009302B7" w:rsidRPr="0047458A" w:rsidRDefault="00F51357" w:rsidP="00501223">
      <w:pPr>
        <w:spacing w:line="360" w:lineRule="auto"/>
        <w:rPr>
          <w:bCs/>
          <w:color w:val="000000" w:themeColor="text1"/>
          <w:lang w:val="es-ES"/>
        </w:rPr>
      </w:pPr>
      <w:r w:rsidRPr="0047458A">
        <w:rPr>
          <w:bCs/>
          <w:color w:val="000000" w:themeColor="text1"/>
          <w:lang w:val="es-ES"/>
        </w:rPr>
        <w:t>Son muchas las formas en las que los</w:t>
      </w:r>
      <w:r w:rsidR="009302B7" w:rsidRPr="0047458A">
        <w:rPr>
          <w:bCs/>
          <w:color w:val="000000" w:themeColor="text1"/>
          <w:lang w:val="es-ES"/>
        </w:rPr>
        <w:t xml:space="preserve"> intereses privados pueden influir </w:t>
      </w:r>
      <w:r w:rsidRPr="0047458A">
        <w:rPr>
          <w:bCs/>
          <w:color w:val="000000" w:themeColor="text1"/>
          <w:lang w:val="es-ES"/>
        </w:rPr>
        <w:t>en el proceso de toma de decisión</w:t>
      </w:r>
      <w:r w:rsidR="009302B7" w:rsidRPr="0047458A">
        <w:rPr>
          <w:bCs/>
          <w:color w:val="000000" w:themeColor="text1"/>
          <w:lang w:val="es-ES"/>
        </w:rPr>
        <w:t xml:space="preserve">; esto incluye la actividad </w:t>
      </w:r>
      <w:r w:rsidRPr="0047458A">
        <w:rPr>
          <w:bCs/>
          <w:color w:val="000000" w:themeColor="text1"/>
          <w:lang w:val="es-ES"/>
        </w:rPr>
        <w:t xml:space="preserve">de </w:t>
      </w:r>
      <w:r w:rsidR="009302B7" w:rsidRPr="0047458A">
        <w:rPr>
          <w:bCs/>
          <w:color w:val="000000" w:themeColor="text1"/>
          <w:lang w:val="es-ES"/>
        </w:rPr>
        <w:t xml:space="preserve">lobby directa </w:t>
      </w:r>
      <w:r w:rsidR="00A80140">
        <w:rPr>
          <w:bCs/>
          <w:color w:val="000000" w:themeColor="text1"/>
          <w:lang w:val="es-ES"/>
        </w:rPr>
        <w:t xml:space="preserve">por parte </w:t>
      </w:r>
      <w:r w:rsidR="009302B7" w:rsidRPr="0047458A">
        <w:rPr>
          <w:bCs/>
          <w:color w:val="000000" w:themeColor="text1"/>
          <w:lang w:val="es-ES"/>
        </w:rPr>
        <w:t xml:space="preserve">de </w:t>
      </w:r>
      <w:r w:rsidRPr="0047458A">
        <w:rPr>
          <w:bCs/>
          <w:color w:val="000000" w:themeColor="text1"/>
          <w:lang w:val="es-ES"/>
        </w:rPr>
        <w:t xml:space="preserve">entidades </w:t>
      </w:r>
      <w:r w:rsidR="009302B7" w:rsidRPr="0047458A">
        <w:rPr>
          <w:bCs/>
          <w:color w:val="000000" w:themeColor="text1"/>
          <w:lang w:val="es-ES"/>
        </w:rPr>
        <w:t>privadas y situaciones donde</w:t>
      </w:r>
      <w:r w:rsidR="00142DF8">
        <w:rPr>
          <w:bCs/>
          <w:color w:val="000000" w:themeColor="text1"/>
          <w:lang w:val="es-ES"/>
        </w:rPr>
        <w:t xml:space="preserve"> </w:t>
      </w:r>
      <w:r w:rsidR="0047458A">
        <w:rPr>
          <w:bCs/>
          <w:color w:val="000000" w:themeColor="text1"/>
          <w:lang w:val="es-ES"/>
        </w:rPr>
        <w:t>la</w:t>
      </w:r>
      <w:r w:rsidR="00A80140">
        <w:rPr>
          <w:bCs/>
          <w:color w:val="000000" w:themeColor="text1"/>
          <w:lang w:val="es-ES"/>
        </w:rPr>
        <w:t xml:space="preserve"> propia</w:t>
      </w:r>
      <w:r w:rsidR="0047458A">
        <w:rPr>
          <w:bCs/>
          <w:color w:val="000000" w:themeColor="text1"/>
          <w:lang w:val="es-ES"/>
        </w:rPr>
        <w:t xml:space="preserve"> persona encargada de toma</w:t>
      </w:r>
      <w:r w:rsidR="00A80140">
        <w:rPr>
          <w:bCs/>
          <w:color w:val="000000" w:themeColor="text1"/>
          <w:lang w:val="es-ES"/>
        </w:rPr>
        <w:t>r</w:t>
      </w:r>
      <w:r w:rsidR="0047458A">
        <w:rPr>
          <w:bCs/>
          <w:color w:val="000000" w:themeColor="text1"/>
          <w:lang w:val="es-ES"/>
        </w:rPr>
        <w:t xml:space="preserve"> una decisión</w:t>
      </w:r>
      <w:r w:rsidR="00A80140">
        <w:rPr>
          <w:bCs/>
          <w:color w:val="000000" w:themeColor="text1"/>
          <w:lang w:val="es-ES"/>
        </w:rPr>
        <w:t>,</w:t>
      </w:r>
      <w:r w:rsidR="00142DF8">
        <w:rPr>
          <w:bCs/>
          <w:color w:val="000000" w:themeColor="text1"/>
          <w:lang w:val="es-ES"/>
        </w:rPr>
        <w:t xml:space="preserve"> </w:t>
      </w:r>
      <w:r w:rsidR="009302B7" w:rsidRPr="0047458A">
        <w:rPr>
          <w:bCs/>
          <w:color w:val="000000" w:themeColor="text1"/>
          <w:lang w:val="es-ES"/>
        </w:rPr>
        <w:t xml:space="preserve">tiene intereses privados </w:t>
      </w:r>
      <w:r w:rsidRPr="0047458A">
        <w:rPr>
          <w:bCs/>
          <w:color w:val="000000" w:themeColor="text1"/>
          <w:lang w:val="es-ES"/>
        </w:rPr>
        <w:t xml:space="preserve">que </w:t>
      </w:r>
      <w:r w:rsidR="009302B7" w:rsidRPr="0047458A">
        <w:rPr>
          <w:bCs/>
          <w:color w:val="000000" w:themeColor="text1"/>
          <w:lang w:val="es-ES"/>
        </w:rPr>
        <w:t>pueden interferir en el interés público.</w:t>
      </w:r>
    </w:p>
    <w:p w:rsidR="00AE1B67" w:rsidRPr="0047458A" w:rsidRDefault="00464EBC" w:rsidP="00501223">
      <w:pPr>
        <w:spacing w:line="360" w:lineRule="auto"/>
        <w:rPr>
          <w:bCs/>
          <w:color w:val="000000" w:themeColor="text1"/>
          <w:lang w:val="es-ES"/>
        </w:rPr>
      </w:pPr>
      <w:r>
        <w:rPr>
          <w:bCs/>
          <w:color w:val="000000" w:themeColor="text1"/>
          <w:lang w:val="es-ES"/>
        </w:rPr>
        <w:t>Según la</w:t>
      </w:r>
      <w:r w:rsidR="009302B7" w:rsidRPr="0047458A">
        <w:rPr>
          <w:bCs/>
          <w:color w:val="000000" w:themeColor="text1"/>
          <w:lang w:val="es-ES"/>
        </w:rPr>
        <w:t xml:space="preserve"> OECD</w:t>
      </w:r>
      <w:r>
        <w:rPr>
          <w:bCs/>
          <w:color w:val="000000" w:themeColor="text1"/>
          <w:lang w:val="es-ES"/>
        </w:rPr>
        <w:t xml:space="preserve"> </w:t>
      </w:r>
      <w:r w:rsidR="009302B7" w:rsidRPr="0047458A">
        <w:rPr>
          <w:bCs/>
          <w:color w:val="000000" w:themeColor="text1"/>
          <w:lang w:val="es-ES"/>
        </w:rPr>
        <w:t xml:space="preserve">un conflicto de intereses </w:t>
      </w:r>
      <w:r>
        <w:rPr>
          <w:bCs/>
          <w:color w:val="000000" w:themeColor="text1"/>
          <w:lang w:val="es-ES"/>
        </w:rPr>
        <w:t xml:space="preserve">ocurre </w:t>
      </w:r>
      <w:r w:rsidR="009302B7" w:rsidRPr="0047458A">
        <w:rPr>
          <w:bCs/>
          <w:color w:val="000000" w:themeColor="text1"/>
          <w:lang w:val="es-ES"/>
        </w:rPr>
        <w:t>cuando un individuo “está en posición de explotar su propia capacidad oficial profesional de alguna forma para beneficio personal o empresarial.”</w:t>
      </w:r>
      <w:r w:rsidR="00003B90" w:rsidRPr="0047458A">
        <w:rPr>
          <w:rStyle w:val="Refdenotaalpie"/>
          <w:bCs/>
          <w:color w:val="000000" w:themeColor="text1"/>
          <w:lang w:val="es-ES"/>
        </w:rPr>
        <w:footnoteReference w:id="3"/>
      </w:r>
    </w:p>
    <w:p w:rsidR="00B8601F" w:rsidRPr="00FA62D3" w:rsidRDefault="00B8601F" w:rsidP="00501223">
      <w:pPr>
        <w:spacing w:line="360" w:lineRule="auto"/>
        <w:rPr>
          <w:lang w:val="es-ES"/>
        </w:rPr>
      </w:pPr>
      <w:r w:rsidRPr="00FA62D3">
        <w:rPr>
          <w:lang w:val="es-ES"/>
        </w:rPr>
        <w:t xml:space="preserve">Esta situación </w:t>
      </w:r>
      <w:r w:rsidR="00F51357" w:rsidRPr="00FA62D3">
        <w:rPr>
          <w:lang w:val="es-ES"/>
        </w:rPr>
        <w:t xml:space="preserve">se da </w:t>
      </w:r>
      <w:r w:rsidRPr="00FA62D3">
        <w:rPr>
          <w:lang w:val="es-ES"/>
        </w:rPr>
        <w:t xml:space="preserve">cuando </w:t>
      </w:r>
      <w:r w:rsidR="00AE1B67" w:rsidRPr="00FA62D3">
        <w:rPr>
          <w:lang w:val="es-ES"/>
        </w:rPr>
        <w:t>un</w:t>
      </w:r>
      <w:r w:rsidR="00F51357" w:rsidRPr="00FA62D3">
        <w:rPr>
          <w:lang w:val="es-ES"/>
        </w:rPr>
        <w:t xml:space="preserve"> funcionario</w:t>
      </w:r>
      <w:r w:rsidR="00AE1B67" w:rsidRPr="00FA62D3">
        <w:rPr>
          <w:lang w:val="es-ES"/>
        </w:rPr>
        <w:t xml:space="preserve"> </w:t>
      </w:r>
      <w:r w:rsidR="00E42B32" w:rsidRPr="00FA62D3">
        <w:rPr>
          <w:lang w:val="es-ES"/>
        </w:rPr>
        <w:t xml:space="preserve">que legisla </w:t>
      </w:r>
      <w:r w:rsidR="00F51357" w:rsidRPr="00FA62D3">
        <w:rPr>
          <w:lang w:val="es-ES"/>
        </w:rPr>
        <w:t xml:space="preserve">sobre </w:t>
      </w:r>
      <w:r w:rsidRPr="00FA62D3">
        <w:rPr>
          <w:lang w:val="es-ES"/>
        </w:rPr>
        <w:t xml:space="preserve">un tema </w:t>
      </w:r>
      <w:r w:rsidR="00E42B32" w:rsidRPr="00FA62D3">
        <w:rPr>
          <w:lang w:val="es-ES"/>
        </w:rPr>
        <w:t>determinado</w:t>
      </w:r>
      <w:r w:rsidR="00306821" w:rsidRPr="00FA62D3">
        <w:rPr>
          <w:lang w:val="es-ES"/>
        </w:rPr>
        <w:t xml:space="preserve"> está al mismo tiempo </w:t>
      </w:r>
      <w:r w:rsidRPr="00FA62D3">
        <w:rPr>
          <w:lang w:val="es-ES"/>
        </w:rPr>
        <w:t>defendiendo los intereses de una</w:t>
      </w:r>
      <w:r w:rsidR="00AE1B67" w:rsidRPr="00FA62D3">
        <w:rPr>
          <w:lang w:val="es-ES"/>
        </w:rPr>
        <w:t xml:space="preserve"> empresa privada </w:t>
      </w:r>
      <w:r w:rsidR="000647C1">
        <w:rPr>
          <w:lang w:val="es-ES"/>
        </w:rPr>
        <w:t>sobre la misma materia</w:t>
      </w:r>
      <w:r w:rsidR="00306821" w:rsidRPr="00FA62D3">
        <w:rPr>
          <w:lang w:val="es-ES"/>
        </w:rPr>
        <w:t xml:space="preserve">. </w:t>
      </w:r>
      <w:r w:rsidR="00142DF8">
        <w:rPr>
          <w:lang w:val="es-ES"/>
        </w:rPr>
        <w:t xml:space="preserve">Suelen ser </w:t>
      </w:r>
      <w:r w:rsidR="00306821" w:rsidRPr="00FA62D3">
        <w:rPr>
          <w:lang w:val="es-ES"/>
        </w:rPr>
        <w:t xml:space="preserve">casos en los que </w:t>
      </w:r>
      <w:r w:rsidR="00AE1B67" w:rsidRPr="00FA62D3">
        <w:rPr>
          <w:lang w:val="es-ES"/>
        </w:rPr>
        <w:t>la trayectoria laboral de</w:t>
      </w:r>
      <w:r w:rsidR="00306821" w:rsidRPr="00FA62D3">
        <w:rPr>
          <w:lang w:val="es-ES"/>
        </w:rPr>
        <w:t xml:space="preserve"> un funcionario público se ha desarrollado en la esfera de lo público y </w:t>
      </w:r>
      <w:r w:rsidR="00FB63D9">
        <w:rPr>
          <w:lang w:val="es-ES"/>
        </w:rPr>
        <w:t>de forma paralela</w:t>
      </w:r>
      <w:r w:rsidR="00FB63D9" w:rsidRPr="00FA62D3">
        <w:rPr>
          <w:lang w:val="es-ES"/>
        </w:rPr>
        <w:t xml:space="preserve"> </w:t>
      </w:r>
      <w:r w:rsidR="00306821" w:rsidRPr="00FA62D3">
        <w:rPr>
          <w:lang w:val="es-ES"/>
        </w:rPr>
        <w:t xml:space="preserve">en la esfera privada, habiendo </w:t>
      </w:r>
      <w:r w:rsidR="00306821" w:rsidRPr="00FA62D3">
        <w:rPr>
          <w:lang w:val="es-ES"/>
        </w:rPr>
        <w:lastRenderedPageBreak/>
        <w:t>trabajado antes, durante o después en empresas privadas que trabajan en el mismo campo de actuación que la actividad pública que desarrolla o desarrollaba</w:t>
      </w:r>
      <w:r w:rsidRPr="00FA62D3">
        <w:rPr>
          <w:lang w:val="es-ES"/>
        </w:rPr>
        <w:t xml:space="preserve">. </w:t>
      </w:r>
      <w:r w:rsidR="00306821" w:rsidRPr="00FA62D3">
        <w:rPr>
          <w:lang w:val="es-ES"/>
        </w:rPr>
        <w:t xml:space="preserve">Es ese flujo de trabajadores entre los sectores público y privado </w:t>
      </w:r>
      <w:r w:rsidRPr="00FA62D3">
        <w:rPr>
          <w:lang w:val="es-ES"/>
        </w:rPr>
        <w:t xml:space="preserve">lo que se denomina </w:t>
      </w:r>
      <w:r w:rsidR="00306821" w:rsidRPr="00FA62D3">
        <w:rPr>
          <w:lang w:val="es-ES"/>
        </w:rPr>
        <w:t xml:space="preserve">como </w:t>
      </w:r>
      <w:r w:rsidRPr="00FA62D3">
        <w:rPr>
          <w:lang w:val="es-ES"/>
        </w:rPr>
        <w:t>fenómeno de ‘las puertas giratorias’</w:t>
      </w:r>
      <w:r w:rsidR="003B5E82" w:rsidRPr="00FA62D3">
        <w:rPr>
          <w:lang w:val="es-ES"/>
        </w:rPr>
        <w:t xml:space="preserve">, </w:t>
      </w:r>
      <w:r w:rsidR="00306821" w:rsidRPr="00FA62D3">
        <w:rPr>
          <w:lang w:val="es-ES"/>
        </w:rPr>
        <w:t>que es</w:t>
      </w:r>
      <w:r w:rsidR="003B5E82" w:rsidRPr="00FA62D3">
        <w:rPr>
          <w:lang w:val="es-ES"/>
        </w:rPr>
        <w:t xml:space="preserve"> especialmente preocupante cuando </w:t>
      </w:r>
      <w:r w:rsidR="00306821" w:rsidRPr="00FA62D3">
        <w:rPr>
          <w:lang w:val="es-ES"/>
        </w:rPr>
        <w:t xml:space="preserve">los </w:t>
      </w:r>
      <w:r w:rsidRPr="00FA62D3">
        <w:rPr>
          <w:lang w:val="es-ES"/>
        </w:rPr>
        <w:t>cargos públicos pas</w:t>
      </w:r>
      <w:r w:rsidR="00E42B32" w:rsidRPr="00FA62D3">
        <w:rPr>
          <w:lang w:val="es-ES"/>
        </w:rPr>
        <w:t>a</w:t>
      </w:r>
      <w:r w:rsidRPr="00FA62D3">
        <w:rPr>
          <w:lang w:val="es-ES"/>
        </w:rPr>
        <w:t xml:space="preserve">n directamente a trabajar como lobistas privados nada más </w:t>
      </w:r>
      <w:r w:rsidR="00306821" w:rsidRPr="00FA62D3">
        <w:rPr>
          <w:lang w:val="es-ES"/>
        </w:rPr>
        <w:t>cesar su función pública</w:t>
      </w:r>
      <w:r w:rsidRPr="00FA62D3">
        <w:rPr>
          <w:lang w:val="es-ES"/>
        </w:rPr>
        <w:t xml:space="preserve">. </w:t>
      </w:r>
    </w:p>
    <w:p w:rsidR="00E259FB" w:rsidRPr="00FA62D3" w:rsidRDefault="00E259FB" w:rsidP="00501223">
      <w:pPr>
        <w:spacing w:line="360" w:lineRule="auto"/>
        <w:rPr>
          <w:lang w:val="es-ES"/>
        </w:rPr>
      </w:pPr>
      <w:r w:rsidRPr="00FA62D3">
        <w:rPr>
          <w:lang w:val="es-ES"/>
        </w:rPr>
        <w:t>La</w:t>
      </w:r>
      <w:r w:rsidR="00E42B32" w:rsidRPr="00FA62D3">
        <w:rPr>
          <w:lang w:val="es-ES"/>
        </w:rPr>
        <w:t>s vueltas</w:t>
      </w:r>
      <w:r w:rsidRPr="00FA62D3">
        <w:rPr>
          <w:lang w:val="es-ES"/>
        </w:rPr>
        <w:t xml:space="preserve"> </w:t>
      </w:r>
      <w:r w:rsidR="00E42B32" w:rsidRPr="00FA62D3">
        <w:rPr>
          <w:lang w:val="es-ES"/>
        </w:rPr>
        <w:t xml:space="preserve">que </w:t>
      </w:r>
      <w:r w:rsidRPr="00FA62D3">
        <w:rPr>
          <w:lang w:val="es-ES"/>
        </w:rPr>
        <w:t>d</w:t>
      </w:r>
      <w:r w:rsidR="00E42B32" w:rsidRPr="00FA62D3">
        <w:rPr>
          <w:lang w:val="es-ES"/>
        </w:rPr>
        <w:t>a</w:t>
      </w:r>
      <w:r w:rsidRPr="00FA62D3">
        <w:rPr>
          <w:lang w:val="es-ES"/>
        </w:rPr>
        <w:t xml:space="preserve"> la puerta giratoria </w:t>
      </w:r>
      <w:r w:rsidR="00142DF8">
        <w:rPr>
          <w:lang w:val="es-ES"/>
        </w:rPr>
        <w:t>puede tener</w:t>
      </w:r>
      <w:r w:rsidR="00142DF8" w:rsidRPr="00FA62D3">
        <w:rPr>
          <w:lang w:val="es-ES"/>
        </w:rPr>
        <w:t xml:space="preserve"> </w:t>
      </w:r>
      <w:r w:rsidRPr="00FA62D3">
        <w:rPr>
          <w:lang w:val="es-ES"/>
        </w:rPr>
        <w:t>impactos problemátic</w:t>
      </w:r>
      <w:r w:rsidR="00306821" w:rsidRPr="00FA62D3">
        <w:rPr>
          <w:lang w:val="es-ES"/>
        </w:rPr>
        <w:t>o</w:t>
      </w:r>
      <w:r w:rsidRPr="00FA62D3">
        <w:rPr>
          <w:lang w:val="es-ES"/>
        </w:rPr>
        <w:t xml:space="preserve">s </w:t>
      </w:r>
      <w:r w:rsidR="00306821" w:rsidRPr="00FA62D3">
        <w:rPr>
          <w:lang w:val="es-ES"/>
        </w:rPr>
        <w:t>en el proceso de</w:t>
      </w:r>
      <w:r w:rsidRPr="00FA62D3">
        <w:rPr>
          <w:lang w:val="es-ES"/>
        </w:rPr>
        <w:t xml:space="preserve"> toma de decisiones</w:t>
      </w:r>
      <w:r w:rsidR="00306821" w:rsidRPr="00FA62D3">
        <w:rPr>
          <w:lang w:val="es-ES"/>
        </w:rPr>
        <w:t xml:space="preserve">, en concreto hay dos </w:t>
      </w:r>
      <w:r w:rsidR="00142DF8">
        <w:rPr>
          <w:lang w:val="es-ES"/>
        </w:rPr>
        <w:t>situaciones conflictivas</w:t>
      </w:r>
      <w:r w:rsidR="00142DF8" w:rsidRPr="00FA62D3">
        <w:rPr>
          <w:lang w:val="es-ES"/>
        </w:rPr>
        <w:t xml:space="preserve"> </w:t>
      </w:r>
      <w:r w:rsidR="00306821" w:rsidRPr="00FA62D3">
        <w:rPr>
          <w:lang w:val="es-ES"/>
        </w:rPr>
        <w:t xml:space="preserve">que </w:t>
      </w:r>
      <w:r w:rsidR="00142DF8">
        <w:rPr>
          <w:lang w:val="es-ES"/>
        </w:rPr>
        <w:t>pueden surgir</w:t>
      </w:r>
      <w:r w:rsidRPr="00FA62D3">
        <w:rPr>
          <w:lang w:val="es-ES"/>
        </w:rPr>
        <w:t xml:space="preserve">. </w:t>
      </w:r>
      <w:r w:rsidR="00142DF8">
        <w:rPr>
          <w:lang w:val="es-ES"/>
        </w:rPr>
        <w:t>La primera sería</w:t>
      </w:r>
      <w:r w:rsidR="00FB63D9">
        <w:rPr>
          <w:lang w:val="es-ES"/>
        </w:rPr>
        <w:t xml:space="preserve"> aquella</w:t>
      </w:r>
      <w:r w:rsidR="00142DF8">
        <w:rPr>
          <w:lang w:val="es-ES"/>
        </w:rPr>
        <w:t xml:space="preserve"> en la que </w:t>
      </w:r>
      <w:r w:rsidRPr="00FA62D3">
        <w:rPr>
          <w:lang w:val="es-ES"/>
        </w:rPr>
        <w:t>el funcionario público que ha trabajado en el pasado y/o espera trabajar en el futuro en una empresa privada</w:t>
      </w:r>
      <w:r w:rsidR="00FB63D9">
        <w:rPr>
          <w:lang w:val="es-ES"/>
        </w:rPr>
        <w:t>,</w:t>
      </w:r>
      <w:r w:rsidRPr="00FA62D3">
        <w:rPr>
          <w:lang w:val="es-ES"/>
        </w:rPr>
        <w:t xml:space="preserve"> </w:t>
      </w:r>
      <w:r w:rsidR="00306821" w:rsidRPr="00FA62D3">
        <w:rPr>
          <w:lang w:val="es-ES"/>
        </w:rPr>
        <w:t xml:space="preserve">podría </w:t>
      </w:r>
      <w:r w:rsidRPr="00FA62D3">
        <w:rPr>
          <w:lang w:val="es-ES"/>
        </w:rPr>
        <w:t xml:space="preserve">tomar decisiones </w:t>
      </w:r>
      <w:r w:rsidR="00312274" w:rsidRPr="00FA62D3">
        <w:rPr>
          <w:lang w:val="es-ES"/>
        </w:rPr>
        <w:t>más favorables</w:t>
      </w:r>
      <w:r w:rsidR="00FB63D9">
        <w:rPr>
          <w:lang w:val="es-ES"/>
        </w:rPr>
        <w:t xml:space="preserve"> hacia</w:t>
      </w:r>
      <w:r w:rsidRPr="00FA62D3">
        <w:rPr>
          <w:lang w:val="es-ES"/>
        </w:rPr>
        <w:t xml:space="preserve"> los intereses del sector privado</w:t>
      </w:r>
      <w:r w:rsidR="00312274" w:rsidRPr="00FA62D3">
        <w:rPr>
          <w:lang w:val="es-ES"/>
        </w:rPr>
        <w:t>,</w:t>
      </w:r>
      <w:r w:rsidRPr="00FA62D3">
        <w:rPr>
          <w:lang w:val="es-ES"/>
        </w:rPr>
        <w:t xml:space="preserve"> para mejorar sus oportunidades personales, por amistad </w:t>
      </w:r>
      <w:r w:rsidR="00312274" w:rsidRPr="00FA62D3">
        <w:rPr>
          <w:lang w:val="es-ES"/>
        </w:rPr>
        <w:t>o por desarrollar sus</w:t>
      </w:r>
      <w:r w:rsidRPr="00FA62D3">
        <w:rPr>
          <w:lang w:val="es-ES"/>
        </w:rPr>
        <w:t xml:space="preserve"> contactos</w:t>
      </w:r>
      <w:r w:rsidR="00312274" w:rsidRPr="00FA62D3">
        <w:rPr>
          <w:lang w:val="es-ES"/>
        </w:rPr>
        <w:t>, en detrimento de</w:t>
      </w:r>
      <w:r w:rsidRPr="00FA62D3">
        <w:rPr>
          <w:lang w:val="es-ES"/>
        </w:rPr>
        <w:t xml:space="preserve">, por ejemplo, </w:t>
      </w:r>
      <w:r w:rsidR="00312274" w:rsidRPr="00FA62D3">
        <w:rPr>
          <w:lang w:val="es-ES"/>
        </w:rPr>
        <w:t xml:space="preserve">los intereses de </w:t>
      </w:r>
      <w:r w:rsidRPr="00FA62D3">
        <w:rPr>
          <w:lang w:val="es-ES"/>
        </w:rPr>
        <w:t>representantes de la sociedad civil y ciudadanos</w:t>
      </w:r>
      <w:r w:rsidR="00312274" w:rsidRPr="00FA62D3">
        <w:rPr>
          <w:lang w:val="es-ES"/>
        </w:rPr>
        <w:t xml:space="preserve"> o del propio interés público.</w:t>
      </w:r>
    </w:p>
    <w:p w:rsidR="00D62E97" w:rsidRPr="00FA62D3" w:rsidRDefault="00800B39" w:rsidP="00501223">
      <w:pPr>
        <w:spacing w:line="360" w:lineRule="auto"/>
        <w:rPr>
          <w:lang w:val="es-ES"/>
        </w:rPr>
      </w:pPr>
      <w:r>
        <w:rPr>
          <w:lang w:val="es-ES"/>
        </w:rPr>
        <w:t>L</w:t>
      </w:r>
      <w:r w:rsidR="00142DF8">
        <w:rPr>
          <w:lang w:val="es-ES"/>
        </w:rPr>
        <w:t>a segunda sería</w:t>
      </w:r>
      <w:r w:rsidR="00FB63D9">
        <w:rPr>
          <w:lang w:val="es-ES"/>
        </w:rPr>
        <w:t xml:space="preserve"> aquella en</w:t>
      </w:r>
      <w:r w:rsidR="00142DF8">
        <w:rPr>
          <w:lang w:val="es-ES"/>
        </w:rPr>
        <w:t xml:space="preserve"> </w:t>
      </w:r>
      <w:r w:rsidR="00887611" w:rsidRPr="00FA62D3">
        <w:rPr>
          <w:lang w:val="es-ES"/>
        </w:rPr>
        <w:t xml:space="preserve">que </w:t>
      </w:r>
      <w:r w:rsidR="00D62E97" w:rsidRPr="00FA62D3">
        <w:rPr>
          <w:lang w:val="es-ES"/>
        </w:rPr>
        <w:t xml:space="preserve">las empresas </w:t>
      </w:r>
      <w:r w:rsidR="00312274" w:rsidRPr="00FA62D3">
        <w:rPr>
          <w:lang w:val="es-ES"/>
        </w:rPr>
        <w:t xml:space="preserve">de </w:t>
      </w:r>
      <w:r w:rsidR="00D62E97" w:rsidRPr="00FA62D3">
        <w:rPr>
          <w:lang w:val="es-ES"/>
        </w:rPr>
        <w:t xml:space="preserve">lobby </w:t>
      </w:r>
      <w:r w:rsidR="00A0259D" w:rsidRPr="00FA62D3">
        <w:rPr>
          <w:lang w:val="es-ES"/>
        </w:rPr>
        <w:t>pued</w:t>
      </w:r>
      <w:r w:rsidR="00FB63D9">
        <w:rPr>
          <w:lang w:val="es-ES"/>
        </w:rPr>
        <w:t>e</w:t>
      </w:r>
      <w:r w:rsidR="00A0259D" w:rsidRPr="00FA62D3">
        <w:rPr>
          <w:lang w:val="es-ES"/>
        </w:rPr>
        <w:t>n aprovechar</w:t>
      </w:r>
      <w:r w:rsidR="00D62E97" w:rsidRPr="00FA62D3">
        <w:rPr>
          <w:lang w:val="es-ES"/>
        </w:rPr>
        <w:t xml:space="preserve"> los contactos adquiridos por sus nuevos empleados </w:t>
      </w:r>
      <w:r w:rsidR="004B71BB" w:rsidRPr="00FA62D3">
        <w:rPr>
          <w:lang w:val="es-ES"/>
        </w:rPr>
        <w:t>en sus antiguos trabajos públicos</w:t>
      </w:r>
      <w:r w:rsidR="00772FFF" w:rsidRPr="00FA62D3">
        <w:rPr>
          <w:lang w:val="es-ES"/>
        </w:rPr>
        <w:t>: f</w:t>
      </w:r>
      <w:r w:rsidR="00D62E97" w:rsidRPr="00FA62D3">
        <w:rPr>
          <w:lang w:val="es-ES"/>
        </w:rPr>
        <w:t>uncionarios públicos, que recientemente dejaron su cargo, se convierten en un gran recurso para las empresas que se dedican a pres</w:t>
      </w:r>
      <w:r w:rsidR="00280E0A" w:rsidRPr="00FA62D3">
        <w:rPr>
          <w:lang w:val="es-ES"/>
        </w:rPr>
        <w:t>ionar</w:t>
      </w:r>
      <w:r w:rsidR="00312274" w:rsidRPr="00FA62D3">
        <w:rPr>
          <w:lang w:val="es-ES"/>
        </w:rPr>
        <w:t xml:space="preserve"> durante</w:t>
      </w:r>
      <w:r w:rsidR="00280E0A" w:rsidRPr="00FA62D3">
        <w:rPr>
          <w:lang w:val="es-ES"/>
        </w:rPr>
        <w:t xml:space="preserve"> los procesos legislativos - t</w:t>
      </w:r>
      <w:r w:rsidR="00D62E97" w:rsidRPr="00FA62D3">
        <w:rPr>
          <w:lang w:val="es-ES"/>
        </w:rPr>
        <w:t>iene</w:t>
      </w:r>
      <w:r w:rsidR="00280E0A" w:rsidRPr="00FA62D3">
        <w:rPr>
          <w:lang w:val="es-ES"/>
        </w:rPr>
        <w:t>n</w:t>
      </w:r>
      <w:r w:rsidR="00D62E97" w:rsidRPr="00FA62D3">
        <w:rPr>
          <w:lang w:val="es-ES"/>
        </w:rPr>
        <w:t xml:space="preserve"> un conocimiento privilegiado del sistema y conoce</w:t>
      </w:r>
      <w:r w:rsidR="00280E0A" w:rsidRPr="00FA62D3">
        <w:rPr>
          <w:lang w:val="es-ES"/>
        </w:rPr>
        <w:t>n</w:t>
      </w:r>
      <w:r w:rsidR="00D62E97" w:rsidRPr="00FA62D3">
        <w:rPr>
          <w:lang w:val="es-ES"/>
        </w:rPr>
        <w:t xml:space="preserve"> personalmente a las personas que forman parte de</w:t>
      </w:r>
      <w:r w:rsidR="00312274" w:rsidRPr="00FA62D3">
        <w:rPr>
          <w:lang w:val="es-ES"/>
        </w:rPr>
        <w:t>l mismo y responsables de tomar las decisiones definitivas</w:t>
      </w:r>
      <w:r w:rsidR="00D62E97" w:rsidRPr="00FA62D3">
        <w:rPr>
          <w:lang w:val="es-ES"/>
        </w:rPr>
        <w:t xml:space="preserve">. Esta conexión privilegiada pasa a manos de los intereses privados al contratarles y daña fuertemente el </w:t>
      </w:r>
      <w:r w:rsidR="00312274" w:rsidRPr="00FA62D3">
        <w:rPr>
          <w:lang w:val="es-ES"/>
        </w:rPr>
        <w:t xml:space="preserve">equilibrio </w:t>
      </w:r>
      <w:r w:rsidR="00D62E97" w:rsidRPr="00FA62D3">
        <w:rPr>
          <w:lang w:val="es-ES"/>
        </w:rPr>
        <w:t>de influencias.</w:t>
      </w:r>
    </w:p>
    <w:p w:rsidR="00882479" w:rsidRPr="00FA62D3" w:rsidRDefault="00735CD1" w:rsidP="00501223">
      <w:pPr>
        <w:spacing w:line="360" w:lineRule="auto"/>
        <w:rPr>
          <w:lang w:val="es-ES"/>
        </w:rPr>
      </w:pPr>
      <w:r w:rsidRPr="00FA62D3">
        <w:rPr>
          <w:lang w:val="es-ES"/>
        </w:rPr>
        <w:t xml:space="preserve">Estos problemas y sus posibles impactos negativos </w:t>
      </w:r>
      <w:r w:rsidR="00312274" w:rsidRPr="00FA62D3">
        <w:rPr>
          <w:lang w:val="es-ES"/>
        </w:rPr>
        <w:t xml:space="preserve">en la legitimidad de </w:t>
      </w:r>
      <w:r w:rsidRPr="00FA62D3">
        <w:rPr>
          <w:lang w:val="es-ES"/>
        </w:rPr>
        <w:t>la toma de decisiones</w:t>
      </w:r>
      <w:r w:rsidR="00AF1990" w:rsidRPr="00FA62D3">
        <w:rPr>
          <w:lang w:val="es-ES"/>
        </w:rPr>
        <w:t xml:space="preserve"> públicas</w:t>
      </w:r>
      <w:r w:rsidRPr="00FA62D3">
        <w:rPr>
          <w:lang w:val="es-ES"/>
        </w:rPr>
        <w:t xml:space="preserve"> no son suficientes para prohibir el flujo de empleados entre los sectores privado y público. </w:t>
      </w:r>
      <w:r w:rsidR="00312274" w:rsidRPr="00FA62D3">
        <w:rPr>
          <w:lang w:val="es-ES"/>
        </w:rPr>
        <w:t>De hecho</w:t>
      </w:r>
      <w:r w:rsidRPr="00FA62D3">
        <w:rPr>
          <w:lang w:val="es-ES"/>
        </w:rPr>
        <w:t xml:space="preserve"> </w:t>
      </w:r>
      <w:r w:rsidR="00AF1990" w:rsidRPr="00FA62D3">
        <w:rPr>
          <w:lang w:val="es-ES"/>
        </w:rPr>
        <w:t xml:space="preserve">es importante que </w:t>
      </w:r>
      <w:r w:rsidRPr="00FA62D3">
        <w:rPr>
          <w:lang w:val="es-ES"/>
        </w:rPr>
        <w:t xml:space="preserve">las instituciones públicas </w:t>
      </w:r>
      <w:r w:rsidR="00AF1990" w:rsidRPr="00FA62D3">
        <w:rPr>
          <w:lang w:val="es-ES"/>
        </w:rPr>
        <w:t>tengan</w:t>
      </w:r>
      <w:r w:rsidRPr="00FA62D3">
        <w:rPr>
          <w:lang w:val="es-ES"/>
        </w:rPr>
        <w:t xml:space="preserve"> </w:t>
      </w:r>
      <w:r w:rsidR="00AF1990" w:rsidRPr="00FA62D3">
        <w:rPr>
          <w:lang w:val="es-ES"/>
        </w:rPr>
        <w:t xml:space="preserve">la posibilidad </w:t>
      </w:r>
      <w:r w:rsidRPr="00FA62D3">
        <w:rPr>
          <w:lang w:val="es-ES"/>
        </w:rPr>
        <w:t xml:space="preserve">de </w:t>
      </w:r>
      <w:r w:rsidR="00312274" w:rsidRPr="00FA62D3">
        <w:rPr>
          <w:lang w:val="es-ES"/>
        </w:rPr>
        <w:t xml:space="preserve"> contar con </w:t>
      </w:r>
      <w:r w:rsidRPr="00FA62D3">
        <w:rPr>
          <w:lang w:val="es-ES"/>
        </w:rPr>
        <w:t xml:space="preserve">la experiencia y </w:t>
      </w:r>
      <w:r w:rsidR="00312274" w:rsidRPr="00FA62D3">
        <w:rPr>
          <w:lang w:val="es-ES"/>
        </w:rPr>
        <w:t xml:space="preserve">el </w:t>
      </w:r>
      <w:r w:rsidRPr="00FA62D3">
        <w:rPr>
          <w:lang w:val="es-ES"/>
        </w:rPr>
        <w:t xml:space="preserve">conocimiento </w:t>
      </w:r>
      <w:r w:rsidR="00AF1990" w:rsidRPr="00FA62D3">
        <w:rPr>
          <w:lang w:val="es-ES"/>
        </w:rPr>
        <w:t>de expertos que se han formado en el sector privado, tanto en campos especializados como en la gestión y dirección de empresas</w:t>
      </w:r>
      <w:r w:rsidRPr="00FA62D3">
        <w:rPr>
          <w:lang w:val="es-ES"/>
        </w:rPr>
        <w:t>.</w:t>
      </w:r>
    </w:p>
    <w:p w:rsidR="00735CD1" w:rsidRPr="00FA62D3" w:rsidRDefault="00AF1990" w:rsidP="00501223">
      <w:pPr>
        <w:spacing w:line="360" w:lineRule="auto"/>
        <w:rPr>
          <w:lang w:val="es-ES"/>
        </w:rPr>
      </w:pPr>
      <w:r w:rsidRPr="00FA62D3">
        <w:rPr>
          <w:lang w:val="es-ES"/>
        </w:rPr>
        <w:t xml:space="preserve">Por esta razón es fundamental que al </w:t>
      </w:r>
      <w:r w:rsidR="00882479" w:rsidRPr="00FA62D3">
        <w:rPr>
          <w:lang w:val="es-ES"/>
        </w:rPr>
        <w:t xml:space="preserve">proponer medidas para limitar la influencia negativa </w:t>
      </w:r>
      <w:r w:rsidR="00312274" w:rsidRPr="00FA62D3">
        <w:rPr>
          <w:lang w:val="es-ES"/>
        </w:rPr>
        <w:t xml:space="preserve">que pueda tener el </w:t>
      </w:r>
      <w:r w:rsidR="00882479" w:rsidRPr="00FA62D3">
        <w:rPr>
          <w:lang w:val="es-ES"/>
        </w:rPr>
        <w:t>fenómeno de las puertas giratorias</w:t>
      </w:r>
      <w:r w:rsidR="00312274" w:rsidRPr="00FA62D3">
        <w:rPr>
          <w:lang w:val="es-ES"/>
        </w:rPr>
        <w:t>,</w:t>
      </w:r>
      <w:r w:rsidR="00882479" w:rsidRPr="00FA62D3">
        <w:rPr>
          <w:lang w:val="es-ES"/>
        </w:rPr>
        <w:t xml:space="preserve"> </w:t>
      </w:r>
      <w:r w:rsidRPr="00FA62D3">
        <w:rPr>
          <w:lang w:val="es-ES"/>
        </w:rPr>
        <w:t>se ponderen ambas necesidades, la de contar con un proceso de toma de decisiones que persiga el interés público y la de contar con expertos que en muchas ocasiones vendrán del sector privado</w:t>
      </w:r>
      <w:r w:rsidR="00882479" w:rsidRPr="00FA62D3">
        <w:rPr>
          <w:lang w:val="es-ES"/>
        </w:rPr>
        <w:t>.</w:t>
      </w:r>
    </w:p>
    <w:p w:rsidR="003F4C92" w:rsidRPr="00FA62D3" w:rsidRDefault="00CA7757" w:rsidP="00501223">
      <w:pPr>
        <w:spacing w:line="360" w:lineRule="auto"/>
        <w:rPr>
          <w:rFonts w:ascii="Trebuchet MS" w:hAnsi="Trebuchet MS"/>
          <w:b/>
          <w:color w:val="4F81BD"/>
          <w:sz w:val="24"/>
          <w:szCs w:val="24"/>
          <w:lang w:val="es-ES"/>
        </w:rPr>
      </w:pPr>
      <w:r w:rsidRPr="00FA62D3">
        <w:rPr>
          <w:rFonts w:ascii="Trebuchet MS" w:hAnsi="Trebuchet MS"/>
          <w:b/>
          <w:color w:val="4F81BD"/>
          <w:sz w:val="24"/>
          <w:szCs w:val="24"/>
          <w:lang w:val="es-ES"/>
        </w:rPr>
        <w:t>Tres Medidas Para Controlar las Puertas Giratorias</w:t>
      </w:r>
    </w:p>
    <w:p w:rsidR="00CA7757" w:rsidRPr="00FA62D3" w:rsidRDefault="00CA7757" w:rsidP="00501223">
      <w:pPr>
        <w:spacing w:line="360" w:lineRule="auto"/>
        <w:rPr>
          <w:lang w:val="es-ES"/>
        </w:rPr>
      </w:pPr>
      <w:r w:rsidRPr="00FA62D3">
        <w:rPr>
          <w:lang w:val="es-ES"/>
        </w:rPr>
        <w:t xml:space="preserve">Hay tres principales medidas </w:t>
      </w:r>
      <w:r w:rsidR="00AF1990" w:rsidRPr="00FA62D3">
        <w:rPr>
          <w:lang w:val="es-ES"/>
        </w:rPr>
        <w:t xml:space="preserve">esenciales </w:t>
      </w:r>
      <w:r w:rsidRPr="00FA62D3">
        <w:rPr>
          <w:lang w:val="es-ES"/>
        </w:rPr>
        <w:t xml:space="preserve">para </w:t>
      </w:r>
      <w:r w:rsidR="00B84C95" w:rsidRPr="00FA62D3">
        <w:rPr>
          <w:lang w:val="es-ES"/>
        </w:rPr>
        <w:t>limitar</w:t>
      </w:r>
      <w:r w:rsidR="00AF1990" w:rsidRPr="00FA62D3">
        <w:rPr>
          <w:lang w:val="es-ES"/>
        </w:rPr>
        <w:t>/prevenir</w:t>
      </w:r>
      <w:r w:rsidR="00B84C95" w:rsidRPr="00FA62D3">
        <w:rPr>
          <w:lang w:val="es-ES"/>
        </w:rPr>
        <w:t xml:space="preserve"> el posible impacto negativo de las puerta giratorias</w:t>
      </w:r>
      <w:r w:rsidR="00A55B96" w:rsidRPr="00FA62D3">
        <w:rPr>
          <w:lang w:val="es-ES"/>
        </w:rPr>
        <w:t>.</w:t>
      </w:r>
    </w:p>
    <w:p w:rsidR="00E732E7" w:rsidRPr="00FA62D3" w:rsidRDefault="0036593F" w:rsidP="00501223">
      <w:pPr>
        <w:spacing w:line="360" w:lineRule="auto"/>
        <w:rPr>
          <w:lang w:val="es-ES"/>
        </w:rPr>
      </w:pPr>
      <w:r w:rsidRPr="00FA62D3">
        <w:rPr>
          <w:b/>
          <w:lang w:val="es-ES"/>
        </w:rPr>
        <w:lastRenderedPageBreak/>
        <w:t xml:space="preserve">1. </w:t>
      </w:r>
      <w:r w:rsidR="00E732E7" w:rsidRPr="00FA62D3">
        <w:rPr>
          <w:b/>
          <w:lang w:val="es-ES"/>
        </w:rPr>
        <w:t>Declaraciones de Conflicto de Intereses</w:t>
      </w:r>
      <w:r w:rsidR="00E732E7" w:rsidRPr="00FA62D3">
        <w:rPr>
          <w:lang w:val="es-ES"/>
        </w:rPr>
        <w:t xml:space="preserve">: </w:t>
      </w:r>
      <w:r w:rsidR="000F5DB8" w:rsidRPr="00FA62D3">
        <w:rPr>
          <w:lang w:val="es-ES"/>
        </w:rPr>
        <w:t xml:space="preserve">En la mayoría de los países los funcionarios tienen que presentar declaraciones de conflicto de intereses cuando </w:t>
      </w:r>
      <w:r w:rsidR="00AF1990" w:rsidRPr="00FA62D3">
        <w:rPr>
          <w:lang w:val="es-ES"/>
        </w:rPr>
        <w:t>acceden a</w:t>
      </w:r>
      <w:r w:rsidR="000F5DB8" w:rsidRPr="00FA62D3">
        <w:rPr>
          <w:lang w:val="es-ES"/>
        </w:rPr>
        <w:t xml:space="preserve"> una nueva posición pública</w:t>
      </w:r>
      <w:r w:rsidR="00AF1990" w:rsidRPr="00FA62D3">
        <w:rPr>
          <w:lang w:val="es-ES"/>
        </w:rPr>
        <w:t xml:space="preserve">, estas declaraciones se hacen además </w:t>
      </w:r>
      <w:r w:rsidR="000F5DB8" w:rsidRPr="00FA62D3">
        <w:rPr>
          <w:lang w:val="es-ES"/>
        </w:rPr>
        <w:t xml:space="preserve">de manera </w:t>
      </w:r>
      <w:r w:rsidR="00AE4EF4" w:rsidRPr="00FA62D3">
        <w:rPr>
          <w:lang w:val="es-ES"/>
        </w:rPr>
        <w:t>periódica</w:t>
      </w:r>
      <w:r w:rsidR="000F5DB8" w:rsidRPr="00FA62D3">
        <w:rPr>
          <w:lang w:val="es-ES"/>
        </w:rPr>
        <w:t xml:space="preserve"> (por ejemplo, una vez al año). </w:t>
      </w:r>
    </w:p>
    <w:p w:rsidR="00AB4379" w:rsidRPr="00FA62D3" w:rsidRDefault="00AB4379" w:rsidP="00501223">
      <w:pPr>
        <w:suppressAutoHyphens w:val="0"/>
        <w:spacing w:line="360" w:lineRule="auto"/>
        <w:rPr>
          <w:lang w:val="es-ES"/>
        </w:rPr>
      </w:pPr>
      <w:r w:rsidRPr="00FA62D3">
        <w:rPr>
          <w:lang w:val="es-ES"/>
        </w:rPr>
        <w:t xml:space="preserve">La declaración de conflicto de intereses debería </w:t>
      </w:r>
      <w:r w:rsidR="00AF1990" w:rsidRPr="00FA62D3">
        <w:rPr>
          <w:lang w:val="es-ES"/>
        </w:rPr>
        <w:t xml:space="preserve">estar </w:t>
      </w:r>
      <w:r w:rsidRPr="00FA62D3">
        <w:rPr>
          <w:lang w:val="es-ES"/>
        </w:rPr>
        <w:t>diseñada para identificar y evitar el fenómeno de las puertas giratorias</w:t>
      </w:r>
      <w:r w:rsidR="00AF1990" w:rsidRPr="00FA62D3">
        <w:rPr>
          <w:lang w:val="es-ES"/>
        </w:rPr>
        <w:t xml:space="preserve">, </w:t>
      </w:r>
      <w:r w:rsidR="00116509" w:rsidRPr="00FA62D3">
        <w:rPr>
          <w:lang w:val="es-ES"/>
        </w:rPr>
        <w:t>básicamente se trata de evitar que los funcionarios tomen decisiones con la intención de favorecer a una entidad privada para favorecer su futuro laboral.</w:t>
      </w:r>
      <w:r w:rsidRPr="00FA62D3">
        <w:rPr>
          <w:lang w:val="es-ES"/>
        </w:rPr>
        <w:t xml:space="preserve"> </w:t>
      </w:r>
      <w:r w:rsidR="00116509" w:rsidRPr="00FA62D3">
        <w:rPr>
          <w:lang w:val="es-ES"/>
        </w:rPr>
        <w:t xml:space="preserve">Para que estos casos se puedan detectar, </w:t>
      </w:r>
      <w:r w:rsidRPr="00FA62D3">
        <w:rPr>
          <w:lang w:val="es-ES"/>
        </w:rPr>
        <w:t>la declaración</w:t>
      </w:r>
      <w:r w:rsidR="00116509" w:rsidRPr="00FA62D3">
        <w:rPr>
          <w:lang w:val="es-ES"/>
        </w:rPr>
        <w:t xml:space="preserve"> de conflicto de intereses</w:t>
      </w:r>
      <w:r w:rsidRPr="00FA62D3">
        <w:rPr>
          <w:lang w:val="es-ES"/>
        </w:rPr>
        <w:t xml:space="preserve"> debería </w:t>
      </w:r>
      <w:r w:rsidR="00116509" w:rsidRPr="00FA62D3">
        <w:rPr>
          <w:lang w:val="es-ES"/>
        </w:rPr>
        <w:t>requerir la mención  de</w:t>
      </w:r>
      <w:r w:rsidRPr="00FA62D3">
        <w:rPr>
          <w:lang w:val="es-ES"/>
        </w:rPr>
        <w:t xml:space="preserve"> </w:t>
      </w:r>
      <w:r w:rsidR="00116509" w:rsidRPr="00FA62D3">
        <w:rPr>
          <w:lang w:val="es-ES"/>
        </w:rPr>
        <w:t>todas las vinculaciones, pasadas y actuales,</w:t>
      </w:r>
      <w:r w:rsidRPr="00FA62D3">
        <w:rPr>
          <w:lang w:val="es-ES"/>
        </w:rPr>
        <w:t xml:space="preserve"> con grupos de intereses privados (empresas, ONG</w:t>
      </w:r>
      <w:r w:rsidR="00FB63D9">
        <w:rPr>
          <w:lang w:val="es-ES"/>
        </w:rPr>
        <w:t>, etc</w:t>
      </w:r>
      <w:r w:rsidRPr="00FA62D3">
        <w:rPr>
          <w:lang w:val="es-ES"/>
        </w:rPr>
        <w:t>.</w:t>
      </w:r>
    </w:p>
    <w:p w:rsidR="00AB4379" w:rsidRPr="00FA62D3" w:rsidRDefault="00C55378" w:rsidP="00501223">
      <w:pPr>
        <w:suppressAutoHyphens w:val="0"/>
        <w:spacing w:line="360" w:lineRule="auto"/>
        <w:rPr>
          <w:lang w:val="es-ES"/>
        </w:rPr>
      </w:pPr>
      <w:r w:rsidRPr="00FA62D3">
        <w:rPr>
          <w:lang w:val="es-ES"/>
        </w:rPr>
        <w:t xml:space="preserve">En base a estas declaraciones, los funcionarios públicos deberían abstenerse y tener prohibido </w:t>
      </w:r>
      <w:r w:rsidR="00AB4379" w:rsidRPr="00FA62D3">
        <w:rPr>
          <w:lang w:val="es-ES"/>
        </w:rPr>
        <w:t xml:space="preserve">participar en </w:t>
      </w:r>
      <w:r w:rsidR="00701145" w:rsidRPr="00FA62D3">
        <w:rPr>
          <w:lang w:val="es-ES"/>
        </w:rPr>
        <w:t>decisiones</w:t>
      </w:r>
      <w:r w:rsidR="00AB4379" w:rsidRPr="00FA62D3">
        <w:rPr>
          <w:lang w:val="es-ES"/>
        </w:rPr>
        <w:t xml:space="preserve"> donde su juicio pudiera </w:t>
      </w:r>
      <w:r w:rsidRPr="00FA62D3">
        <w:rPr>
          <w:lang w:val="es-ES"/>
        </w:rPr>
        <w:t xml:space="preserve">estar </w:t>
      </w:r>
      <w:r w:rsidR="00AB4379" w:rsidRPr="00FA62D3">
        <w:rPr>
          <w:lang w:val="es-ES"/>
        </w:rPr>
        <w:t>influido</w:t>
      </w:r>
      <w:r w:rsidR="00701145" w:rsidRPr="00FA62D3">
        <w:rPr>
          <w:lang w:val="es-ES"/>
        </w:rPr>
        <w:t xml:space="preserve"> </w:t>
      </w:r>
      <w:r w:rsidRPr="00FA62D3">
        <w:rPr>
          <w:lang w:val="es-ES"/>
        </w:rPr>
        <w:t>por</w:t>
      </w:r>
      <w:r w:rsidR="00701145" w:rsidRPr="00FA62D3">
        <w:rPr>
          <w:lang w:val="es-ES"/>
        </w:rPr>
        <w:t xml:space="preserve"> </w:t>
      </w:r>
      <w:r w:rsidRPr="00FA62D3">
        <w:rPr>
          <w:lang w:val="es-ES"/>
        </w:rPr>
        <w:t xml:space="preserve">vinculaciones </w:t>
      </w:r>
      <w:r w:rsidR="00701145" w:rsidRPr="00FA62D3">
        <w:rPr>
          <w:lang w:val="es-ES"/>
        </w:rPr>
        <w:t>anteriores</w:t>
      </w:r>
      <w:r w:rsidRPr="00FA62D3">
        <w:rPr>
          <w:lang w:val="es-ES"/>
        </w:rPr>
        <w:t xml:space="preserve"> o presentes</w:t>
      </w:r>
      <w:r w:rsidR="00701145" w:rsidRPr="00FA62D3">
        <w:rPr>
          <w:lang w:val="es-ES"/>
        </w:rPr>
        <w:t xml:space="preserve"> </w:t>
      </w:r>
      <w:r w:rsidRPr="00FA62D3">
        <w:rPr>
          <w:lang w:val="es-ES"/>
        </w:rPr>
        <w:t xml:space="preserve">a </w:t>
      </w:r>
      <w:r w:rsidR="00701145" w:rsidRPr="00FA62D3">
        <w:rPr>
          <w:lang w:val="es-ES"/>
        </w:rPr>
        <w:t>un sector particular.</w:t>
      </w:r>
    </w:p>
    <w:p w:rsidR="00A76B02" w:rsidRPr="00FA62D3" w:rsidRDefault="00C7317A" w:rsidP="00501223">
      <w:pPr>
        <w:spacing w:line="360" w:lineRule="auto"/>
        <w:rPr>
          <w:lang w:val="es-ES"/>
        </w:rPr>
      </w:pPr>
      <w:r w:rsidRPr="00FA62D3">
        <w:rPr>
          <w:b/>
          <w:lang w:val="es-ES"/>
        </w:rPr>
        <w:t>2</w:t>
      </w:r>
      <w:r w:rsidR="006C4E18" w:rsidRPr="00FA62D3">
        <w:rPr>
          <w:b/>
          <w:lang w:val="es-ES"/>
        </w:rPr>
        <w:t xml:space="preserve">. </w:t>
      </w:r>
      <w:r w:rsidR="00A55B96" w:rsidRPr="00FA62D3">
        <w:rPr>
          <w:b/>
          <w:lang w:val="es-ES"/>
        </w:rPr>
        <w:t>Periodo de enfriamiento</w:t>
      </w:r>
      <w:r w:rsidR="00A55B96" w:rsidRPr="00FA62D3">
        <w:rPr>
          <w:lang w:val="es-ES"/>
        </w:rPr>
        <w:t xml:space="preserve">: </w:t>
      </w:r>
    </w:p>
    <w:p w:rsidR="00324078" w:rsidRPr="00FA62D3" w:rsidRDefault="00324078" w:rsidP="00501223">
      <w:pPr>
        <w:suppressAutoHyphens w:val="0"/>
        <w:spacing w:line="360" w:lineRule="auto"/>
        <w:rPr>
          <w:lang w:val="es-ES"/>
        </w:rPr>
      </w:pPr>
      <w:r w:rsidRPr="00FA62D3">
        <w:rPr>
          <w:lang w:val="es-ES"/>
        </w:rPr>
        <w:t xml:space="preserve">Es </w:t>
      </w:r>
      <w:r w:rsidR="00146614" w:rsidRPr="00FA62D3">
        <w:rPr>
          <w:lang w:val="es-ES"/>
        </w:rPr>
        <w:t xml:space="preserve">una </w:t>
      </w:r>
      <w:r w:rsidRPr="00FA62D3">
        <w:rPr>
          <w:lang w:val="es-ES"/>
        </w:rPr>
        <w:t xml:space="preserve">práctica creciente </w:t>
      </w:r>
      <w:r w:rsidR="00146614" w:rsidRPr="00FA62D3">
        <w:rPr>
          <w:lang w:val="es-ES"/>
        </w:rPr>
        <w:t xml:space="preserve">la de </w:t>
      </w:r>
      <w:r w:rsidRPr="00FA62D3">
        <w:rPr>
          <w:lang w:val="es-ES"/>
        </w:rPr>
        <w:t>poner límites</w:t>
      </w:r>
      <w:r w:rsidR="00AA1B11" w:rsidRPr="00FA62D3">
        <w:rPr>
          <w:lang w:val="es-ES"/>
        </w:rPr>
        <w:t xml:space="preserve"> temporales</w:t>
      </w:r>
      <w:r w:rsidRPr="00FA62D3">
        <w:rPr>
          <w:lang w:val="es-ES"/>
        </w:rPr>
        <w:t xml:space="preserve"> al trabajo de </w:t>
      </w:r>
      <w:r w:rsidR="00146614" w:rsidRPr="00FA62D3">
        <w:rPr>
          <w:lang w:val="es-ES"/>
        </w:rPr>
        <w:t xml:space="preserve">funcionarios </w:t>
      </w:r>
      <w:r w:rsidRPr="00FA62D3">
        <w:rPr>
          <w:lang w:val="es-ES"/>
        </w:rPr>
        <w:t xml:space="preserve">públicos </w:t>
      </w:r>
      <w:r w:rsidR="00AA1B11" w:rsidRPr="00FA62D3">
        <w:rPr>
          <w:lang w:val="es-ES"/>
        </w:rPr>
        <w:t xml:space="preserve">en el sector privado </w:t>
      </w:r>
      <w:r w:rsidRPr="00FA62D3">
        <w:rPr>
          <w:lang w:val="es-ES"/>
        </w:rPr>
        <w:t xml:space="preserve">después de que hayan dejado </w:t>
      </w:r>
      <w:r w:rsidR="00146614" w:rsidRPr="00FA62D3">
        <w:rPr>
          <w:lang w:val="es-ES"/>
        </w:rPr>
        <w:t xml:space="preserve">su </w:t>
      </w:r>
      <w:r w:rsidRPr="00FA62D3">
        <w:rPr>
          <w:lang w:val="es-ES"/>
        </w:rPr>
        <w:t>cargo</w:t>
      </w:r>
      <w:r w:rsidR="00AA1B11" w:rsidRPr="00FA62D3">
        <w:rPr>
          <w:lang w:val="es-ES"/>
        </w:rPr>
        <w:t xml:space="preserve">, se la denomina “periodo de enfriamiento”. Se trata de que estas personas </w:t>
      </w:r>
      <w:r w:rsidR="00146614" w:rsidRPr="00FA62D3">
        <w:rPr>
          <w:lang w:val="es-ES"/>
        </w:rPr>
        <w:t>no pasen de forma inmediata a desarrollar actividades o empleos  en el sector privado que estén relacionados directamente con las funciones mantenidas o supervisadas durante su cargo público.</w:t>
      </w:r>
      <w:r w:rsidR="00800B39">
        <w:rPr>
          <w:lang w:val="es-ES"/>
        </w:rPr>
        <w:t xml:space="preserve"> El objetivo que se persigue es que la posibilidad de un trabajo futuro en el sector privado,  no sea un factor determinante para un funcionario a la hora de tomar una decisión</w:t>
      </w:r>
      <w:r w:rsidRPr="00FA62D3">
        <w:rPr>
          <w:lang w:val="es-ES"/>
        </w:rPr>
        <w:t xml:space="preserve">. </w:t>
      </w:r>
    </w:p>
    <w:p w:rsidR="00BC0F6A" w:rsidRPr="00FA62D3" w:rsidRDefault="00D62E97" w:rsidP="00501223">
      <w:pPr>
        <w:suppressAutoHyphens w:val="0"/>
        <w:spacing w:line="360" w:lineRule="auto"/>
        <w:rPr>
          <w:lang w:val="es-ES"/>
        </w:rPr>
      </w:pPr>
      <w:r w:rsidRPr="00FA62D3">
        <w:rPr>
          <w:lang w:val="es-ES"/>
        </w:rPr>
        <w:t>E</w:t>
      </w:r>
      <w:r w:rsidR="00AA1B11" w:rsidRPr="00FA62D3">
        <w:rPr>
          <w:lang w:val="es-ES"/>
        </w:rPr>
        <w:t>sta práctica se está implementando sobre todo e</w:t>
      </w:r>
      <w:r w:rsidRPr="00FA62D3">
        <w:rPr>
          <w:lang w:val="es-ES"/>
        </w:rPr>
        <w:t>n</w:t>
      </w:r>
      <w:r w:rsidR="00AA1B11" w:rsidRPr="00FA62D3">
        <w:rPr>
          <w:lang w:val="es-ES"/>
        </w:rPr>
        <w:t xml:space="preserve"> aquellos</w:t>
      </w:r>
      <w:r w:rsidRPr="00FA62D3">
        <w:rPr>
          <w:lang w:val="es-ES"/>
        </w:rPr>
        <w:t xml:space="preserve"> países donde la actividad del lobby está más desarrollada</w:t>
      </w:r>
      <w:r w:rsidR="00AA1B11" w:rsidRPr="00FA62D3">
        <w:rPr>
          <w:lang w:val="es-ES"/>
        </w:rPr>
        <w:t xml:space="preserve"> y quiere evitar que aquellos funcionarios aporten un beneficio injusto a empresas privadas aportando información privilegiada adquirida durante su mandato público.</w:t>
      </w:r>
    </w:p>
    <w:p w:rsidR="00D62E97" w:rsidRDefault="00D62E97" w:rsidP="00501223">
      <w:pPr>
        <w:spacing w:line="360" w:lineRule="auto"/>
        <w:rPr>
          <w:lang w:val="es-ES"/>
        </w:rPr>
      </w:pPr>
      <w:r w:rsidRPr="00FA62D3">
        <w:rPr>
          <w:lang w:val="es-ES"/>
        </w:rPr>
        <w:t>En la siguiente tabla se puede</w:t>
      </w:r>
      <w:r w:rsidR="00AA1B11" w:rsidRPr="00FA62D3">
        <w:rPr>
          <w:lang w:val="es-ES"/>
        </w:rPr>
        <w:t>n</w:t>
      </w:r>
      <w:r w:rsidRPr="00FA62D3">
        <w:rPr>
          <w:lang w:val="es-ES"/>
        </w:rPr>
        <w:t xml:space="preserve"> observar las diferentes normativas que aplican algunos países. Los periodos de enfriamiento se diferencian pero suelen ser mínimo </w:t>
      </w:r>
      <w:r w:rsidR="00AA1B11" w:rsidRPr="00FA62D3">
        <w:rPr>
          <w:lang w:val="es-ES"/>
        </w:rPr>
        <w:t xml:space="preserve">de </w:t>
      </w:r>
      <w:r w:rsidRPr="00FA62D3">
        <w:rPr>
          <w:lang w:val="es-ES"/>
        </w:rPr>
        <w:t xml:space="preserve">un año. La tabla también recoge </w:t>
      </w:r>
      <w:r w:rsidR="004B71BB" w:rsidRPr="00FA62D3">
        <w:rPr>
          <w:lang w:val="es-ES"/>
        </w:rPr>
        <w:t>las posibles sanciones para</w:t>
      </w:r>
      <w:r w:rsidRPr="00FA62D3">
        <w:rPr>
          <w:lang w:val="es-ES"/>
        </w:rPr>
        <w:t xml:space="preserve"> los lobistas que no cumplen con esta normativa.</w:t>
      </w:r>
    </w:p>
    <w:p w:rsidR="000D7C8E" w:rsidRDefault="000D7C8E" w:rsidP="00501223">
      <w:pPr>
        <w:spacing w:line="360" w:lineRule="auto"/>
        <w:rPr>
          <w:lang w:val="es-ES"/>
        </w:rPr>
      </w:pPr>
    </w:p>
    <w:p w:rsidR="000D7C8E" w:rsidRDefault="000D7C8E" w:rsidP="00501223">
      <w:pPr>
        <w:spacing w:line="360" w:lineRule="auto"/>
        <w:rPr>
          <w:lang w:val="es-ES"/>
        </w:rPr>
      </w:pPr>
    </w:p>
    <w:p w:rsidR="000D7C8E" w:rsidRPr="00FA62D3" w:rsidRDefault="000D7C8E" w:rsidP="00501223">
      <w:pPr>
        <w:spacing w:line="360" w:lineRule="auto"/>
        <w:rPr>
          <w:lang w:val="es-ES"/>
        </w:rPr>
      </w:pPr>
    </w:p>
    <w:tbl>
      <w:tblPr>
        <w:tblW w:w="8755" w:type="dxa"/>
        <w:tblLayout w:type="fixed"/>
        <w:tblLook w:val="0000" w:firstRow="0" w:lastRow="0" w:firstColumn="0" w:lastColumn="0" w:noHBand="0" w:noVBand="0"/>
      </w:tblPr>
      <w:tblGrid>
        <w:gridCol w:w="1384"/>
        <w:gridCol w:w="2729"/>
        <w:gridCol w:w="2728"/>
        <w:gridCol w:w="1914"/>
      </w:tblGrid>
      <w:tr w:rsidR="00D62E97" w:rsidRPr="00FA62D3" w:rsidTr="00CA7757">
        <w:tc>
          <w:tcPr>
            <w:tcW w:w="1384" w:type="dxa"/>
            <w:tcBorders>
              <w:top w:val="single" w:sz="4" w:space="0" w:color="000000"/>
              <w:left w:val="single" w:sz="4" w:space="0" w:color="000000"/>
              <w:bottom w:val="single" w:sz="4" w:space="0" w:color="000000"/>
              <w:right w:val="single" w:sz="4" w:space="0" w:color="000000"/>
            </w:tcBorders>
            <w:shd w:val="clear" w:color="auto" w:fill="DAEEF3"/>
          </w:tcPr>
          <w:p w:rsidR="00D62E97" w:rsidRPr="00FA62D3" w:rsidRDefault="00D62E97" w:rsidP="00501223">
            <w:pPr>
              <w:spacing w:line="360" w:lineRule="auto"/>
              <w:rPr>
                <w:b/>
                <w:lang w:val="es-ES"/>
              </w:rPr>
            </w:pPr>
            <w:r w:rsidRPr="00FA62D3">
              <w:rPr>
                <w:b/>
                <w:lang w:val="es-ES"/>
              </w:rPr>
              <w:lastRenderedPageBreak/>
              <w:t>País</w:t>
            </w:r>
          </w:p>
        </w:tc>
        <w:tc>
          <w:tcPr>
            <w:tcW w:w="2729" w:type="dxa"/>
            <w:tcBorders>
              <w:top w:val="single" w:sz="4" w:space="0" w:color="000000"/>
              <w:left w:val="single" w:sz="4" w:space="0" w:color="000000"/>
              <w:bottom w:val="single" w:sz="4" w:space="0" w:color="000000"/>
              <w:right w:val="single" w:sz="4" w:space="0" w:color="000000"/>
            </w:tcBorders>
            <w:shd w:val="clear" w:color="auto" w:fill="DAEEF3"/>
          </w:tcPr>
          <w:p w:rsidR="00D62E97" w:rsidRPr="00FA62D3" w:rsidRDefault="00D62E97" w:rsidP="00501223">
            <w:pPr>
              <w:spacing w:line="360" w:lineRule="auto"/>
              <w:rPr>
                <w:b/>
                <w:lang w:val="es-ES"/>
              </w:rPr>
            </w:pPr>
            <w:r w:rsidRPr="00FA62D3">
              <w:rPr>
                <w:b/>
                <w:lang w:val="es-ES"/>
              </w:rPr>
              <w:t>Cargo público</w:t>
            </w:r>
          </w:p>
        </w:tc>
        <w:tc>
          <w:tcPr>
            <w:tcW w:w="2728" w:type="dxa"/>
            <w:tcBorders>
              <w:top w:val="single" w:sz="4" w:space="0" w:color="000000"/>
              <w:left w:val="single" w:sz="4" w:space="0" w:color="000000"/>
              <w:bottom w:val="single" w:sz="4" w:space="0" w:color="000000"/>
              <w:right w:val="single" w:sz="4" w:space="0" w:color="000000"/>
            </w:tcBorders>
            <w:shd w:val="clear" w:color="auto" w:fill="DAEEF3"/>
          </w:tcPr>
          <w:p w:rsidR="00D62E97" w:rsidRPr="00FA62D3" w:rsidRDefault="00D62E97" w:rsidP="00501223">
            <w:pPr>
              <w:spacing w:line="360" w:lineRule="auto"/>
              <w:rPr>
                <w:b/>
                <w:lang w:val="es-ES"/>
              </w:rPr>
            </w:pPr>
            <w:r w:rsidRPr="00FA62D3">
              <w:rPr>
                <w:b/>
                <w:lang w:val="es-ES"/>
              </w:rPr>
              <w:t>Periodos de enfriamiento</w:t>
            </w:r>
          </w:p>
        </w:tc>
        <w:tc>
          <w:tcPr>
            <w:tcW w:w="1914" w:type="dxa"/>
            <w:tcBorders>
              <w:top w:val="single" w:sz="4" w:space="0" w:color="000000"/>
              <w:left w:val="single" w:sz="4" w:space="0" w:color="000000"/>
              <w:bottom w:val="single" w:sz="4" w:space="0" w:color="000000"/>
              <w:right w:val="single" w:sz="4" w:space="0" w:color="000000"/>
            </w:tcBorders>
            <w:shd w:val="clear" w:color="auto" w:fill="DAEEF3"/>
          </w:tcPr>
          <w:p w:rsidR="00D62E97" w:rsidRPr="00FA62D3" w:rsidRDefault="00D62E97" w:rsidP="00501223">
            <w:pPr>
              <w:spacing w:line="360" w:lineRule="auto"/>
              <w:rPr>
                <w:b/>
                <w:lang w:val="es-ES"/>
              </w:rPr>
            </w:pPr>
            <w:r w:rsidRPr="00FA62D3">
              <w:rPr>
                <w:b/>
                <w:lang w:val="es-ES"/>
              </w:rPr>
              <w:t>Aplicación sancionadora</w:t>
            </w:r>
          </w:p>
        </w:tc>
      </w:tr>
      <w:tr w:rsidR="00D62E97" w:rsidRPr="00FA62D3" w:rsidTr="00CA7757">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Australia</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6D5AF9" w:rsidP="00501223">
            <w:pPr>
              <w:spacing w:after="0" w:line="240" w:lineRule="auto"/>
              <w:rPr>
                <w:lang w:val="es-ES"/>
              </w:rPr>
            </w:pPr>
            <w:r w:rsidRPr="00FA62D3">
              <w:rPr>
                <w:lang w:val="es-ES"/>
              </w:rPr>
              <w:t xml:space="preserve">Ministros y </w:t>
            </w:r>
            <w:r w:rsidR="00F55DB8">
              <w:rPr>
                <w:lang w:val="es-ES"/>
              </w:rPr>
              <w:t>Secretarios de Estado</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1 año y medio</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Podría ser eliminado del registro de lobistas</w:t>
            </w:r>
          </w:p>
        </w:tc>
      </w:tr>
      <w:tr w:rsidR="00D62E97" w:rsidRPr="00FA62D3" w:rsidTr="00CA7757">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6D5AF9" w:rsidP="00501223">
            <w:pPr>
              <w:spacing w:after="0" w:line="240" w:lineRule="auto"/>
              <w:rPr>
                <w:lang w:val="es-ES"/>
              </w:rPr>
            </w:pPr>
            <w:r w:rsidRPr="00FA62D3">
              <w:rPr>
                <w:lang w:val="es-ES"/>
              </w:rPr>
              <w:t>Altos cargos</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1 año</w:t>
            </w:r>
          </w:p>
        </w:tc>
        <w:tc>
          <w:tcPr>
            <w:tcW w:w="1914" w:type="dxa"/>
            <w:vMerge/>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p>
        </w:tc>
      </w:tr>
      <w:tr w:rsidR="00D62E97" w:rsidRPr="00FA62D3" w:rsidTr="00CA7757">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Canadá</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6D5AF9" w:rsidP="00501223">
            <w:pPr>
              <w:spacing w:after="0" w:line="240" w:lineRule="auto"/>
              <w:rPr>
                <w:lang w:val="es-ES"/>
              </w:rPr>
            </w:pPr>
            <w:r w:rsidRPr="00FA62D3">
              <w:rPr>
                <w:lang w:val="es-ES"/>
              </w:rPr>
              <w:t>Cargos públicos</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5 años</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Multa de hasta 200,000 CAN$  ó hasta 2 años de prisión</w:t>
            </w:r>
          </w:p>
        </w:tc>
      </w:tr>
      <w:tr w:rsidR="00D62E97" w:rsidRPr="00FA62D3" w:rsidTr="00CA7757">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UE</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6D5AF9" w:rsidP="00501223">
            <w:pPr>
              <w:spacing w:after="0" w:line="240" w:lineRule="auto"/>
              <w:rPr>
                <w:lang w:val="es-ES"/>
              </w:rPr>
            </w:pPr>
            <w:r w:rsidRPr="00FA62D3">
              <w:rPr>
                <w:lang w:val="es-ES"/>
              </w:rPr>
              <w:t>Comisionados</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1 año y medio</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Suspensión del registro de lobistas por un periodo de máximo 2 años*</w:t>
            </w:r>
          </w:p>
        </w:tc>
      </w:tr>
      <w:tr w:rsidR="00D62E97" w:rsidRPr="00FA62D3" w:rsidTr="00CA7757">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6D5AF9" w:rsidP="00501223">
            <w:pPr>
              <w:spacing w:after="0" w:line="240" w:lineRule="auto"/>
              <w:rPr>
                <w:lang w:val="es-ES"/>
              </w:rPr>
            </w:pPr>
            <w:r w:rsidRPr="00FA62D3">
              <w:rPr>
                <w:lang w:val="es-ES"/>
              </w:rPr>
              <w:t>Altos cargos oficiales</w:t>
            </w:r>
            <w:r w:rsidR="00D62E97" w:rsidRPr="00FA62D3">
              <w:rPr>
                <w:lang w:val="es-ES"/>
              </w:rPr>
              <w:t>*’</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1 año</w:t>
            </w:r>
          </w:p>
        </w:tc>
        <w:tc>
          <w:tcPr>
            <w:tcW w:w="1914" w:type="dxa"/>
            <w:vMerge/>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p>
        </w:tc>
      </w:tr>
      <w:tr w:rsidR="00D62E97" w:rsidRPr="00FA62D3" w:rsidTr="00CA7757">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USA</w:t>
            </w: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C11CE1" w:rsidP="00501223">
            <w:pPr>
              <w:spacing w:after="0" w:line="240" w:lineRule="auto"/>
              <w:rPr>
                <w:lang w:val="es-ES"/>
              </w:rPr>
            </w:pPr>
            <w:r>
              <w:rPr>
                <w:lang w:val="es-ES"/>
              </w:rPr>
              <w:t>Altos cargos del poder eje</w:t>
            </w:r>
            <w:r w:rsidR="00AB4379" w:rsidRPr="00FA62D3">
              <w:rPr>
                <w:lang w:val="es-ES"/>
              </w:rPr>
              <w:t>cutiv</w:t>
            </w:r>
            <w:r>
              <w:rPr>
                <w:lang w:val="es-ES"/>
              </w:rPr>
              <w:t>o</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1 año</w:t>
            </w:r>
          </w:p>
        </w:tc>
        <w:tc>
          <w:tcPr>
            <w:tcW w:w="19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Multa de hasta 200,000 US$ ó hasta 5 años de prisión</w:t>
            </w:r>
          </w:p>
        </w:tc>
      </w:tr>
      <w:tr w:rsidR="00D62E97" w:rsidRPr="00FA62D3" w:rsidTr="00CA7757">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6D5AF9" w:rsidP="00501223">
            <w:pPr>
              <w:spacing w:after="0" w:line="240" w:lineRule="auto"/>
              <w:rPr>
                <w:lang w:val="es-ES"/>
              </w:rPr>
            </w:pPr>
            <w:r w:rsidRPr="00FA62D3">
              <w:rPr>
                <w:lang w:val="es-ES"/>
              </w:rPr>
              <w:t>Senadores</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2 años</w:t>
            </w:r>
          </w:p>
        </w:tc>
        <w:tc>
          <w:tcPr>
            <w:tcW w:w="1914" w:type="dxa"/>
            <w:vMerge/>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p>
        </w:tc>
      </w:tr>
      <w:tr w:rsidR="00D62E97" w:rsidRPr="00FA62D3" w:rsidTr="00CA775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p>
        </w:tc>
        <w:tc>
          <w:tcPr>
            <w:tcW w:w="2729"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AB4379" w:rsidP="00501223">
            <w:pPr>
              <w:spacing w:after="0" w:line="240" w:lineRule="auto"/>
              <w:rPr>
                <w:lang w:val="es-ES"/>
              </w:rPr>
            </w:pPr>
            <w:r w:rsidRPr="00FA62D3">
              <w:rPr>
                <w:lang w:val="es-ES"/>
              </w:rPr>
              <w:t>Miembros de</w:t>
            </w:r>
            <w:r w:rsidR="006070CD">
              <w:rPr>
                <w:lang w:val="es-ES"/>
              </w:rPr>
              <w:t>l</w:t>
            </w:r>
            <w:r w:rsidRPr="00FA62D3">
              <w:rPr>
                <w:lang w:val="es-ES"/>
              </w:rPr>
              <w:t xml:space="preserve"> </w:t>
            </w:r>
            <w:r w:rsidR="00AD0507">
              <w:rPr>
                <w:lang w:val="es-ES"/>
              </w:rPr>
              <w:t>Congreso</w:t>
            </w:r>
            <w:r w:rsidR="00D62E97" w:rsidRPr="00FA62D3">
              <w:rPr>
                <w:lang w:val="es-ES"/>
              </w:rPr>
              <w:t xml:space="preserve"> </w:t>
            </w:r>
            <w:r w:rsidRPr="00FA62D3">
              <w:rPr>
                <w:lang w:val="es-ES"/>
              </w:rPr>
              <w:t>y sus empleados</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r w:rsidRPr="00FA62D3">
              <w:rPr>
                <w:lang w:val="es-ES"/>
              </w:rPr>
              <w:t>1 año</w:t>
            </w:r>
          </w:p>
        </w:tc>
        <w:tc>
          <w:tcPr>
            <w:tcW w:w="1914" w:type="dxa"/>
            <w:vMerge/>
            <w:tcBorders>
              <w:top w:val="single" w:sz="4" w:space="0" w:color="000000"/>
              <w:left w:val="single" w:sz="4" w:space="0" w:color="000000"/>
              <w:bottom w:val="single" w:sz="4" w:space="0" w:color="000000"/>
              <w:right w:val="single" w:sz="4" w:space="0" w:color="000000"/>
            </w:tcBorders>
            <w:shd w:val="clear" w:color="auto" w:fill="auto"/>
          </w:tcPr>
          <w:p w:rsidR="00D62E97" w:rsidRPr="00FA62D3" w:rsidRDefault="00D62E97" w:rsidP="00501223">
            <w:pPr>
              <w:spacing w:after="0" w:line="240" w:lineRule="auto"/>
              <w:rPr>
                <w:lang w:val="es-ES"/>
              </w:rPr>
            </w:pPr>
          </w:p>
        </w:tc>
      </w:tr>
      <w:tr w:rsidR="004B71BB" w:rsidRPr="00FA62D3" w:rsidTr="00501223">
        <w:trPr>
          <w:trHeight w:val="1308"/>
        </w:trPr>
        <w:tc>
          <w:tcPr>
            <w:tcW w:w="8755" w:type="dxa"/>
            <w:gridSpan w:val="4"/>
            <w:tcBorders>
              <w:top w:val="single" w:sz="4" w:space="0" w:color="000000"/>
              <w:left w:val="single" w:sz="4" w:space="0" w:color="000000"/>
              <w:bottom w:val="single" w:sz="4" w:space="0" w:color="000000"/>
              <w:right w:val="single" w:sz="4" w:space="0" w:color="000000"/>
            </w:tcBorders>
            <w:shd w:val="clear" w:color="auto" w:fill="auto"/>
          </w:tcPr>
          <w:p w:rsidR="004B71BB" w:rsidRPr="00FA62D3" w:rsidRDefault="004B71BB" w:rsidP="00501223">
            <w:pPr>
              <w:spacing w:after="0" w:line="240" w:lineRule="auto"/>
              <w:rPr>
                <w:lang w:val="es-ES"/>
              </w:rPr>
            </w:pPr>
            <w:r w:rsidRPr="00FA62D3">
              <w:rPr>
                <w:lang w:val="es-ES"/>
              </w:rPr>
              <w:t>* En la UE el registro de transparencia no es obligatorio</w:t>
            </w:r>
            <w:r w:rsidR="00AB1DDA">
              <w:rPr>
                <w:lang w:val="es-ES"/>
              </w:rPr>
              <w:t>.</w:t>
            </w:r>
          </w:p>
          <w:p w:rsidR="004B71BB" w:rsidRPr="00FA62D3" w:rsidRDefault="004B71BB" w:rsidP="00501223">
            <w:pPr>
              <w:spacing w:after="0" w:line="240" w:lineRule="auto"/>
              <w:rPr>
                <w:lang w:val="es-ES"/>
              </w:rPr>
            </w:pPr>
            <w:r w:rsidRPr="00FA62D3">
              <w:rPr>
                <w:lang w:val="es-ES"/>
              </w:rPr>
              <w:t>*’ Código de conducta nuevo</w:t>
            </w:r>
            <w:r w:rsidR="00AA1B11" w:rsidRPr="00FA62D3">
              <w:rPr>
                <w:lang w:val="es-ES"/>
              </w:rPr>
              <w:t>,</w:t>
            </w:r>
            <w:r w:rsidRPr="00FA62D3">
              <w:rPr>
                <w:lang w:val="es-ES"/>
              </w:rPr>
              <w:t xml:space="preserve"> todavía por implementar (“EU Staff </w:t>
            </w:r>
            <w:proofErr w:type="spellStart"/>
            <w:r w:rsidRPr="00FA62D3">
              <w:rPr>
                <w:lang w:val="es-ES"/>
              </w:rPr>
              <w:t>Regulation</w:t>
            </w:r>
            <w:proofErr w:type="spellEnd"/>
            <w:r w:rsidRPr="00FA62D3">
              <w:rPr>
                <w:lang w:val="es-ES"/>
              </w:rPr>
              <w:t>”, aprobado el 02.07.2013)</w:t>
            </w:r>
            <w:r w:rsidR="00AB1DDA">
              <w:rPr>
                <w:lang w:val="es-ES"/>
              </w:rPr>
              <w:t>.</w:t>
            </w:r>
          </w:p>
          <w:p w:rsidR="004B71BB" w:rsidRPr="00FA62D3" w:rsidRDefault="004B71BB" w:rsidP="00501223">
            <w:pPr>
              <w:spacing w:after="0" w:line="240" w:lineRule="auto"/>
              <w:rPr>
                <w:lang w:val="es-ES"/>
              </w:rPr>
            </w:pPr>
            <w:r w:rsidRPr="00FA62D3">
              <w:rPr>
                <w:lang w:val="es-ES"/>
              </w:rPr>
              <w:t>Source:</w:t>
            </w:r>
            <w:hyperlink r:id="rId12" w:history="1">
              <w:r w:rsidRPr="00FA62D3">
                <w:rPr>
                  <w:rStyle w:val="Hipervnculo"/>
                  <w:lang w:val="es-ES"/>
                </w:rPr>
                <w:t>http://www.parliament.nz/en-nz/parl-support/research-papers/00PLLawRP12041/lobbying-regimes-an-outline</w:t>
              </w:r>
            </w:hyperlink>
          </w:p>
        </w:tc>
      </w:tr>
    </w:tbl>
    <w:p w:rsidR="004114CC" w:rsidRPr="00FA62D3" w:rsidRDefault="004114CC" w:rsidP="00501223">
      <w:pPr>
        <w:spacing w:line="360" w:lineRule="auto"/>
        <w:rPr>
          <w:lang w:val="es-ES"/>
        </w:rPr>
      </w:pPr>
    </w:p>
    <w:p w:rsidR="0017189D" w:rsidRPr="00FA62D3" w:rsidRDefault="00B94DCE" w:rsidP="00501223">
      <w:pPr>
        <w:spacing w:line="360" w:lineRule="auto"/>
        <w:rPr>
          <w:lang w:val="es-ES"/>
        </w:rPr>
      </w:pPr>
      <w:r w:rsidRPr="00FA62D3">
        <w:rPr>
          <w:b/>
          <w:lang w:val="es-ES"/>
        </w:rPr>
        <w:t xml:space="preserve">3. </w:t>
      </w:r>
      <w:r w:rsidR="00431914" w:rsidRPr="00FA62D3">
        <w:rPr>
          <w:b/>
          <w:lang w:val="es-ES"/>
        </w:rPr>
        <w:t>Un registro obligatorio del Lobby</w:t>
      </w:r>
      <w:r w:rsidRPr="00FA62D3">
        <w:rPr>
          <w:b/>
          <w:lang w:val="es-ES"/>
        </w:rPr>
        <w:t xml:space="preserve">: </w:t>
      </w:r>
      <w:r w:rsidRPr="00FA62D3">
        <w:rPr>
          <w:lang w:val="es-ES"/>
        </w:rPr>
        <w:t xml:space="preserve">Un registro de todos los lobbistas profesionales permite a las entidades públicas </w:t>
      </w:r>
      <w:r w:rsidR="00431914" w:rsidRPr="00FA62D3">
        <w:rPr>
          <w:lang w:val="es-ES"/>
        </w:rPr>
        <w:t>y a</w:t>
      </w:r>
      <w:r w:rsidRPr="00FA62D3">
        <w:rPr>
          <w:lang w:val="es-ES"/>
        </w:rPr>
        <w:t xml:space="preserve"> los ciudadanos </w:t>
      </w:r>
      <w:r w:rsidR="00431914" w:rsidRPr="00FA62D3">
        <w:rPr>
          <w:lang w:val="es-ES"/>
        </w:rPr>
        <w:t>saber</w:t>
      </w:r>
      <w:r w:rsidRPr="00FA62D3">
        <w:rPr>
          <w:lang w:val="es-ES"/>
        </w:rPr>
        <w:t xml:space="preserve"> qui</w:t>
      </w:r>
      <w:r w:rsidR="00431914" w:rsidRPr="00FA62D3">
        <w:rPr>
          <w:lang w:val="es-ES"/>
        </w:rPr>
        <w:t>é</w:t>
      </w:r>
      <w:r w:rsidRPr="00FA62D3">
        <w:rPr>
          <w:lang w:val="es-ES"/>
        </w:rPr>
        <w:t xml:space="preserve">n </w:t>
      </w:r>
      <w:r w:rsidR="00431914" w:rsidRPr="00FA62D3">
        <w:rPr>
          <w:lang w:val="es-ES"/>
        </w:rPr>
        <w:t xml:space="preserve">está ejerciendo presión en las decisiones públicas. </w:t>
      </w:r>
    </w:p>
    <w:p w:rsidR="00B94DCE" w:rsidRPr="00FA62D3" w:rsidRDefault="00431914" w:rsidP="00501223">
      <w:pPr>
        <w:spacing w:line="360" w:lineRule="auto"/>
        <w:rPr>
          <w:lang w:val="es-ES"/>
        </w:rPr>
      </w:pPr>
      <w:r w:rsidRPr="00FA62D3">
        <w:rPr>
          <w:lang w:val="es-ES"/>
        </w:rPr>
        <w:t xml:space="preserve">Este tipo de registro permite </w:t>
      </w:r>
      <w:r w:rsidR="00B94DCE" w:rsidRPr="00FA62D3">
        <w:rPr>
          <w:lang w:val="es-ES"/>
        </w:rPr>
        <w:t>verificar si un</w:t>
      </w:r>
      <w:r w:rsidRPr="00FA62D3">
        <w:rPr>
          <w:lang w:val="es-ES"/>
        </w:rPr>
        <w:t xml:space="preserve"> </w:t>
      </w:r>
      <w:r w:rsidR="00B94DCE" w:rsidRPr="00FA62D3">
        <w:rPr>
          <w:lang w:val="es-ES"/>
        </w:rPr>
        <w:t xml:space="preserve">funcionario público ha trabajado en una empresa de lobby antes de </w:t>
      </w:r>
      <w:r w:rsidRPr="00FA62D3">
        <w:rPr>
          <w:lang w:val="es-ES"/>
        </w:rPr>
        <w:t xml:space="preserve">comenzar </w:t>
      </w:r>
      <w:r w:rsidR="00B94DCE" w:rsidRPr="00FA62D3">
        <w:rPr>
          <w:lang w:val="es-ES"/>
        </w:rPr>
        <w:t>su car</w:t>
      </w:r>
      <w:r w:rsidRPr="00FA62D3">
        <w:rPr>
          <w:lang w:val="es-ES"/>
        </w:rPr>
        <w:t>r</w:t>
      </w:r>
      <w:r w:rsidR="00B94DCE" w:rsidRPr="00FA62D3">
        <w:rPr>
          <w:lang w:val="es-ES"/>
        </w:rPr>
        <w:t xml:space="preserve">era pública o si </w:t>
      </w:r>
      <w:r w:rsidRPr="00FA62D3">
        <w:rPr>
          <w:lang w:val="es-ES"/>
        </w:rPr>
        <w:t xml:space="preserve">al </w:t>
      </w:r>
      <w:r w:rsidR="00B94DCE" w:rsidRPr="00FA62D3">
        <w:rPr>
          <w:lang w:val="es-ES"/>
        </w:rPr>
        <w:t>deja su empleo en una institución pública aprovecha sus contactos y conocimiento</w:t>
      </w:r>
      <w:r w:rsidRPr="00FA62D3">
        <w:rPr>
          <w:lang w:val="es-ES"/>
        </w:rPr>
        <w:t>s</w:t>
      </w:r>
      <w:r w:rsidR="00B94DCE" w:rsidRPr="00FA62D3">
        <w:rPr>
          <w:lang w:val="es-ES"/>
        </w:rPr>
        <w:t xml:space="preserve"> </w:t>
      </w:r>
      <w:r w:rsidR="0017189D" w:rsidRPr="00FA62D3">
        <w:rPr>
          <w:lang w:val="es-ES"/>
        </w:rPr>
        <w:t>para trabajar</w:t>
      </w:r>
      <w:r w:rsidR="00B94DCE" w:rsidRPr="00FA62D3">
        <w:rPr>
          <w:lang w:val="es-ES"/>
        </w:rPr>
        <w:t xml:space="preserve"> </w:t>
      </w:r>
      <w:r w:rsidR="0017189D" w:rsidRPr="00FA62D3">
        <w:rPr>
          <w:lang w:val="es-ES"/>
        </w:rPr>
        <w:t xml:space="preserve">en </w:t>
      </w:r>
      <w:r w:rsidR="00B94DCE" w:rsidRPr="00FA62D3">
        <w:rPr>
          <w:lang w:val="es-ES"/>
        </w:rPr>
        <w:t xml:space="preserve">el sector privado. </w:t>
      </w:r>
      <w:r w:rsidR="0017189D" w:rsidRPr="00FA62D3">
        <w:rPr>
          <w:lang w:val="es-ES"/>
        </w:rPr>
        <w:t xml:space="preserve">Además ayudaría a que se respetasen los periodos de enfriamiento ya que obligaría a que los lobbistas declarasen, entre otras cosas, los cargos públicos que hayan ocupado con anterioridad. </w:t>
      </w:r>
    </w:p>
    <w:p w:rsidR="00C7317A" w:rsidRPr="00FA62D3" w:rsidRDefault="00C7317A" w:rsidP="00501223">
      <w:pPr>
        <w:spacing w:line="360" w:lineRule="auto"/>
        <w:rPr>
          <w:lang w:val="es-ES"/>
        </w:rPr>
      </w:pPr>
      <w:r w:rsidRPr="00FA62D3">
        <w:rPr>
          <w:lang w:val="es-ES"/>
        </w:rPr>
        <w:t>Es</w:t>
      </w:r>
      <w:r w:rsidR="00B94DCE" w:rsidRPr="00FA62D3">
        <w:rPr>
          <w:lang w:val="es-ES"/>
        </w:rPr>
        <w:t xml:space="preserve"> esencial tener un registro de lob</w:t>
      </w:r>
      <w:r w:rsidR="00AB1DDA">
        <w:rPr>
          <w:lang w:val="es-ES"/>
        </w:rPr>
        <w:t>b</w:t>
      </w:r>
      <w:r w:rsidR="00B94DCE" w:rsidRPr="00FA62D3">
        <w:rPr>
          <w:lang w:val="es-ES"/>
        </w:rPr>
        <w:t>istas que sea obligatorio para</w:t>
      </w:r>
      <w:r w:rsidR="00431914" w:rsidRPr="00FA62D3">
        <w:rPr>
          <w:lang w:val="es-ES"/>
        </w:rPr>
        <w:t xml:space="preserve"> conocer a</w:t>
      </w:r>
      <w:r w:rsidR="00B94DCE" w:rsidRPr="00FA62D3">
        <w:rPr>
          <w:lang w:val="es-ES"/>
        </w:rPr>
        <w:t xml:space="preserve"> todos </w:t>
      </w:r>
      <w:r w:rsidR="00431914" w:rsidRPr="00FA62D3">
        <w:rPr>
          <w:lang w:val="es-ES"/>
        </w:rPr>
        <w:t xml:space="preserve">los </w:t>
      </w:r>
      <w:r w:rsidR="00B94DCE" w:rsidRPr="00FA62D3">
        <w:rPr>
          <w:lang w:val="es-ES"/>
        </w:rPr>
        <w:t>que en su día</w:t>
      </w:r>
      <w:r w:rsidR="00431914" w:rsidRPr="00FA62D3">
        <w:rPr>
          <w:lang w:val="es-ES"/>
        </w:rPr>
        <w:t xml:space="preserve"> –</w:t>
      </w:r>
      <w:r w:rsidR="00B94DCE" w:rsidRPr="00FA62D3">
        <w:rPr>
          <w:lang w:val="es-ES"/>
        </w:rPr>
        <w:t>a</w:t>
      </w:r>
      <w:r w:rsidR="00431914" w:rsidRPr="00FA62D3">
        <w:rPr>
          <w:lang w:val="es-ES"/>
        </w:rPr>
        <w:t xml:space="preserve"> </w:t>
      </w:r>
      <w:r w:rsidR="00B94DCE" w:rsidRPr="00FA62D3">
        <w:rPr>
          <w:lang w:val="es-ES"/>
        </w:rPr>
        <w:t xml:space="preserve">día o con una cierta frecuencia intentan tener impacto sobre la </w:t>
      </w:r>
      <w:r w:rsidR="00431914" w:rsidRPr="00FA62D3">
        <w:rPr>
          <w:lang w:val="es-ES"/>
        </w:rPr>
        <w:t>t</w:t>
      </w:r>
      <w:r w:rsidR="00B94DCE" w:rsidRPr="00FA62D3">
        <w:rPr>
          <w:lang w:val="es-ES"/>
        </w:rPr>
        <w:t>oma de decisiones y</w:t>
      </w:r>
      <w:r w:rsidR="00431914" w:rsidRPr="00FA62D3">
        <w:rPr>
          <w:lang w:val="es-ES"/>
        </w:rPr>
        <w:t xml:space="preserve"> sobre las</w:t>
      </w:r>
      <w:r w:rsidR="00B94DCE" w:rsidRPr="00FA62D3">
        <w:rPr>
          <w:lang w:val="es-ES"/>
        </w:rPr>
        <w:t xml:space="preserve"> futur</w:t>
      </w:r>
      <w:r w:rsidR="00431914" w:rsidRPr="00FA62D3">
        <w:rPr>
          <w:lang w:val="es-ES"/>
        </w:rPr>
        <w:t>a</w:t>
      </w:r>
      <w:r w:rsidR="00B94DCE" w:rsidRPr="00FA62D3">
        <w:rPr>
          <w:lang w:val="es-ES"/>
        </w:rPr>
        <w:t xml:space="preserve">s leyes y regulaciones. </w:t>
      </w:r>
      <w:r w:rsidRPr="00FA62D3">
        <w:rPr>
          <w:lang w:val="es-ES"/>
        </w:rPr>
        <w:t xml:space="preserve"> </w:t>
      </w:r>
    </w:p>
    <w:p w:rsidR="00711ADE" w:rsidRPr="00FA62D3" w:rsidRDefault="00EE2A12" w:rsidP="00501223">
      <w:pPr>
        <w:spacing w:line="360" w:lineRule="auto"/>
        <w:rPr>
          <w:lang w:val="es-ES"/>
        </w:rPr>
      </w:pPr>
      <w:r w:rsidRPr="00FA62D3">
        <w:rPr>
          <w:lang w:val="es-ES"/>
        </w:rPr>
        <w:t>E</w:t>
      </w:r>
      <w:r w:rsidR="00A5214A" w:rsidRPr="00FA62D3">
        <w:rPr>
          <w:lang w:val="es-ES"/>
        </w:rPr>
        <w:t xml:space="preserve">stas medidas tienen que </w:t>
      </w:r>
      <w:r w:rsidRPr="00FA62D3">
        <w:rPr>
          <w:lang w:val="es-ES"/>
        </w:rPr>
        <w:t>ir</w:t>
      </w:r>
      <w:r w:rsidR="00A5214A" w:rsidRPr="00FA62D3">
        <w:rPr>
          <w:lang w:val="es-ES"/>
        </w:rPr>
        <w:t xml:space="preserve"> acompañadas por un </w:t>
      </w:r>
      <w:r w:rsidRPr="00FA62D3">
        <w:rPr>
          <w:lang w:val="es-ES"/>
        </w:rPr>
        <w:t xml:space="preserve">alto </w:t>
      </w:r>
      <w:r w:rsidR="00A5214A" w:rsidRPr="00FA62D3">
        <w:rPr>
          <w:lang w:val="es-ES"/>
        </w:rPr>
        <w:t xml:space="preserve">grado de transparencia. Es imprescindible </w:t>
      </w:r>
      <w:r w:rsidR="0087769C" w:rsidRPr="00FA62D3">
        <w:rPr>
          <w:lang w:val="es-ES"/>
        </w:rPr>
        <w:t xml:space="preserve">que se publique tanto las declaraciones y las evaluaciones de las declaraciones por las entidades públicas, las declaraciones de los empleados salientes y los registros de lobbies, como la regulación relativa a estas tres medidas. </w:t>
      </w:r>
    </w:p>
    <w:p w:rsidR="00711ADE" w:rsidRPr="00FA62D3" w:rsidRDefault="00711ADE" w:rsidP="00501223">
      <w:pPr>
        <w:spacing w:line="360" w:lineRule="auto"/>
        <w:rPr>
          <w:lang w:val="es-ES"/>
        </w:rPr>
      </w:pPr>
      <w:r w:rsidRPr="00FA62D3">
        <w:rPr>
          <w:lang w:val="es-ES"/>
        </w:rPr>
        <w:lastRenderedPageBreak/>
        <w:t xml:space="preserve">En la siguiente tabla se puede encontrar una lista de la información que se debería publicar </w:t>
      </w:r>
      <w:r w:rsidR="00AB660F" w:rsidRPr="00FA62D3">
        <w:rPr>
          <w:lang w:val="es-ES"/>
        </w:rPr>
        <w:t>para asegurar la transparencia del Lobby</w:t>
      </w:r>
      <w:r w:rsidR="00501223">
        <w:rPr>
          <w:rStyle w:val="Refdenotaalpie"/>
          <w:lang w:val="es-ES"/>
        </w:rPr>
        <w:footnoteReference w:id="4"/>
      </w:r>
      <w:r w:rsidRPr="00FA62D3">
        <w:rPr>
          <w:lang w:val="es-ES"/>
        </w:rPr>
        <w:t>.</w:t>
      </w:r>
    </w:p>
    <w:p w:rsidR="00711ADE" w:rsidRPr="00FA62D3" w:rsidRDefault="00800B39" w:rsidP="00501223">
      <w:pPr>
        <w:spacing w:line="360" w:lineRule="auto"/>
        <w:rPr>
          <w:lang w:val="es-ES"/>
        </w:rPr>
      </w:pPr>
      <w:r>
        <w:rPr>
          <w:noProof/>
          <w:lang w:val="es-ES" w:eastAsia="es-ES"/>
        </w:rPr>
        <w:drawing>
          <wp:anchor distT="0" distB="0" distL="114300" distR="114300" simplePos="0" relativeHeight="251658240" behindDoc="0" locked="0" layoutInCell="1" allowOverlap="1" wp14:anchorId="045B2B5F" wp14:editId="389B9E93">
            <wp:simplePos x="0" y="0"/>
            <wp:positionH relativeFrom="column">
              <wp:posOffset>337820</wp:posOffset>
            </wp:positionH>
            <wp:positionV relativeFrom="paragraph">
              <wp:posOffset>135255</wp:posOffset>
            </wp:positionV>
            <wp:extent cx="4638675" cy="6696075"/>
            <wp:effectExtent l="19050" t="19050" r="9525" b="9525"/>
            <wp:wrapSquare wrapText="bothSides"/>
            <wp:docPr id="6" name="Picture 6" descr="tabla lobby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a lobby españa"/>
                    <pic:cNvPicPr>
                      <a:picLocks noChangeAspect="1" noChangeArrowheads="1"/>
                    </pic:cNvPicPr>
                  </pic:nvPicPr>
                  <pic:blipFill>
                    <a:blip r:embed="rId13" cstate="print"/>
                    <a:srcRect/>
                    <a:stretch>
                      <a:fillRect/>
                    </a:stretch>
                  </pic:blipFill>
                  <pic:spPr bwMode="auto">
                    <a:xfrm>
                      <a:off x="0" y="0"/>
                      <a:ext cx="4638675" cy="6696075"/>
                    </a:xfrm>
                    <a:prstGeom prst="rect">
                      <a:avLst/>
                    </a:prstGeom>
                    <a:noFill/>
                    <a:ln w="9525">
                      <a:solidFill>
                        <a:srgbClr val="000000"/>
                      </a:solidFill>
                      <a:miter lim="800000"/>
                      <a:headEnd/>
                      <a:tailEnd/>
                    </a:ln>
                  </pic:spPr>
                </pic:pic>
              </a:graphicData>
            </a:graphic>
          </wp:anchor>
        </w:drawing>
      </w: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AB660F" w:rsidRPr="00FA62D3" w:rsidRDefault="00AB660F" w:rsidP="00501223">
      <w:pPr>
        <w:spacing w:line="360" w:lineRule="auto"/>
        <w:rPr>
          <w:lang w:val="es-ES"/>
        </w:rPr>
      </w:pPr>
    </w:p>
    <w:p w:rsidR="00501223" w:rsidRDefault="00501223" w:rsidP="00501223">
      <w:pPr>
        <w:spacing w:line="360" w:lineRule="auto"/>
        <w:rPr>
          <w:lang w:val="es-ES"/>
        </w:rPr>
      </w:pPr>
    </w:p>
    <w:p w:rsidR="00D62E97" w:rsidRPr="00FA62D3" w:rsidRDefault="00AB660F" w:rsidP="00501223">
      <w:pPr>
        <w:spacing w:line="360" w:lineRule="auto"/>
        <w:rPr>
          <w:lang w:val="es-ES"/>
        </w:rPr>
      </w:pPr>
      <w:r w:rsidRPr="00FA62D3">
        <w:rPr>
          <w:lang w:val="es-ES"/>
        </w:rPr>
        <w:lastRenderedPageBreak/>
        <w:t xml:space="preserve">Además de regular la actividad del Lobby y reforzar su transparencia, es necesario </w:t>
      </w:r>
      <w:r w:rsidR="00160C1D" w:rsidRPr="00FA62D3">
        <w:rPr>
          <w:lang w:val="es-ES"/>
        </w:rPr>
        <w:t>fomentar otras acciones para asegurar una transparencia del lobby exhaustiva</w:t>
      </w:r>
      <w:r w:rsidR="00AB1DDA">
        <w:rPr>
          <w:lang w:val="es-ES"/>
        </w:rPr>
        <w:t>;</w:t>
      </w:r>
      <w:r w:rsidR="00160C1D" w:rsidRPr="00FA62D3">
        <w:rPr>
          <w:lang w:val="es-ES"/>
        </w:rPr>
        <w:t xml:space="preserve"> así por ejemplo, para que la función del registro del lobby sea completa deberían publicarse </w:t>
      </w:r>
      <w:r w:rsidRPr="00FA62D3">
        <w:rPr>
          <w:lang w:val="es-ES"/>
        </w:rPr>
        <w:t>las agendas</w:t>
      </w:r>
      <w:r w:rsidR="00160C1D" w:rsidRPr="00FA62D3">
        <w:rPr>
          <w:lang w:val="es-ES"/>
        </w:rPr>
        <w:t xml:space="preserve"> de los cargos públicos</w:t>
      </w:r>
      <w:r w:rsidR="00335AB8" w:rsidRPr="00FA62D3">
        <w:rPr>
          <w:lang w:val="es-ES"/>
        </w:rPr>
        <w:t xml:space="preserve">. </w:t>
      </w:r>
    </w:p>
    <w:p w:rsidR="00D62E97" w:rsidRPr="00FA62D3" w:rsidRDefault="00D62E97" w:rsidP="00501223">
      <w:pPr>
        <w:spacing w:line="360" w:lineRule="auto"/>
        <w:rPr>
          <w:lang w:val="es-ES"/>
        </w:rPr>
      </w:pPr>
      <w:r w:rsidRPr="00FA62D3">
        <w:rPr>
          <w:lang w:val="es-ES"/>
        </w:rPr>
        <w:t>No podemos evitar que se ejerza presión sobre los políticos</w:t>
      </w:r>
      <w:r w:rsidR="00335AB8" w:rsidRPr="00FA62D3">
        <w:rPr>
          <w:lang w:val="es-ES"/>
        </w:rPr>
        <w:t xml:space="preserve"> y funcionarios encargados de tomar decisiones</w:t>
      </w:r>
      <w:r w:rsidRPr="00FA62D3">
        <w:rPr>
          <w:lang w:val="es-ES"/>
        </w:rPr>
        <w:t xml:space="preserve"> y tampoco </w:t>
      </w:r>
      <w:r w:rsidR="00AB660F" w:rsidRPr="00FA62D3">
        <w:rPr>
          <w:lang w:val="es-ES"/>
        </w:rPr>
        <w:t>esto sería deseable ya que muchas</w:t>
      </w:r>
      <w:r w:rsidR="00580682" w:rsidRPr="00FA62D3">
        <w:rPr>
          <w:lang w:val="es-ES"/>
        </w:rPr>
        <w:t xml:space="preserve"> de la aportaciones de grupos de interés – </w:t>
      </w:r>
      <w:r w:rsidR="00AB660F" w:rsidRPr="00FA62D3">
        <w:rPr>
          <w:lang w:val="es-ES"/>
        </w:rPr>
        <w:t xml:space="preserve">de </w:t>
      </w:r>
      <w:r w:rsidR="00580682" w:rsidRPr="00FA62D3">
        <w:rPr>
          <w:lang w:val="es-ES"/>
        </w:rPr>
        <w:t xml:space="preserve">la sociedad civil y </w:t>
      </w:r>
      <w:r w:rsidR="00AB660F" w:rsidRPr="00FA62D3">
        <w:rPr>
          <w:lang w:val="es-ES"/>
        </w:rPr>
        <w:t xml:space="preserve">de </w:t>
      </w:r>
      <w:r w:rsidR="00580682" w:rsidRPr="00FA62D3">
        <w:rPr>
          <w:lang w:val="es-ES"/>
        </w:rPr>
        <w:t>las empresas – enriquecen el debate público y aseguran que se toma</w:t>
      </w:r>
      <w:r w:rsidR="00AB660F" w:rsidRPr="00FA62D3">
        <w:rPr>
          <w:lang w:val="es-ES"/>
        </w:rPr>
        <w:t>n las</w:t>
      </w:r>
      <w:r w:rsidR="00580682" w:rsidRPr="00FA62D3">
        <w:rPr>
          <w:lang w:val="es-ES"/>
        </w:rPr>
        <w:t xml:space="preserve"> decisiones </w:t>
      </w:r>
      <w:r w:rsidR="00AB660F" w:rsidRPr="00FA62D3">
        <w:rPr>
          <w:lang w:val="es-ES"/>
        </w:rPr>
        <w:t xml:space="preserve">con más datos, teniendo </w:t>
      </w:r>
      <w:r w:rsidR="00580682" w:rsidRPr="00FA62D3">
        <w:rPr>
          <w:lang w:val="es-ES"/>
        </w:rPr>
        <w:t xml:space="preserve">en cuenta </w:t>
      </w:r>
      <w:r w:rsidR="00AB660F" w:rsidRPr="00FA62D3">
        <w:rPr>
          <w:lang w:val="es-ES"/>
        </w:rPr>
        <w:t>todos los puntos de vista</w:t>
      </w:r>
      <w:r w:rsidR="00580682" w:rsidRPr="00FA62D3">
        <w:rPr>
          <w:lang w:val="es-ES"/>
        </w:rPr>
        <w:t xml:space="preserve"> y tras haber evaluado sus impactos sobre todos sectores de la sociedad. </w:t>
      </w:r>
      <w:r w:rsidR="00AB660F" w:rsidRPr="00FA62D3">
        <w:rPr>
          <w:lang w:val="es-ES"/>
        </w:rPr>
        <w:t>Lo que s</w:t>
      </w:r>
      <w:r w:rsidR="00AB1DDA">
        <w:rPr>
          <w:lang w:val="es-ES"/>
        </w:rPr>
        <w:t>í</w:t>
      </w:r>
      <w:r w:rsidR="00AB660F" w:rsidRPr="00FA62D3">
        <w:rPr>
          <w:lang w:val="es-ES"/>
        </w:rPr>
        <w:t xml:space="preserve"> podemos hacer y s</w:t>
      </w:r>
      <w:r w:rsidR="00AB1DDA">
        <w:rPr>
          <w:lang w:val="es-ES"/>
        </w:rPr>
        <w:t>í</w:t>
      </w:r>
      <w:r w:rsidR="00AB660F" w:rsidRPr="00FA62D3">
        <w:rPr>
          <w:lang w:val="es-ES"/>
        </w:rPr>
        <w:t xml:space="preserve"> es recomendable es</w:t>
      </w:r>
      <w:r w:rsidRPr="00FA62D3">
        <w:rPr>
          <w:lang w:val="es-ES"/>
        </w:rPr>
        <w:t xml:space="preserve"> regular esta práctica para </w:t>
      </w:r>
      <w:r w:rsidR="00AB660F" w:rsidRPr="00FA62D3">
        <w:rPr>
          <w:lang w:val="es-ES"/>
        </w:rPr>
        <w:t xml:space="preserve">evitar posibles abusos y asegurar </w:t>
      </w:r>
      <w:r w:rsidRPr="00FA62D3">
        <w:rPr>
          <w:lang w:val="es-ES"/>
        </w:rPr>
        <w:t xml:space="preserve">que sea lo más transparente y </w:t>
      </w:r>
      <w:r w:rsidR="00AB660F" w:rsidRPr="00FA62D3">
        <w:rPr>
          <w:lang w:val="es-ES"/>
        </w:rPr>
        <w:t xml:space="preserve">equilibrada </w:t>
      </w:r>
      <w:r w:rsidRPr="00FA62D3">
        <w:rPr>
          <w:lang w:val="es-ES"/>
        </w:rPr>
        <w:t xml:space="preserve">posible. </w:t>
      </w:r>
    </w:p>
    <w:p w:rsidR="00D62E97" w:rsidRPr="00FA62D3" w:rsidRDefault="00D62E97" w:rsidP="00501223">
      <w:pPr>
        <w:spacing w:line="360" w:lineRule="auto"/>
        <w:rPr>
          <w:lang w:val="es-ES"/>
        </w:rPr>
      </w:pPr>
    </w:p>
    <w:p w:rsidR="00C86E4D" w:rsidRPr="00FA62D3" w:rsidRDefault="00C86E4D" w:rsidP="00501223">
      <w:pPr>
        <w:spacing w:line="360" w:lineRule="auto"/>
        <w:rPr>
          <w:lang w:val="es-ES"/>
        </w:rPr>
      </w:pPr>
    </w:p>
    <w:p w:rsidR="00C86E4D" w:rsidRPr="00FA62D3" w:rsidRDefault="00C86E4D" w:rsidP="00501223">
      <w:pPr>
        <w:spacing w:line="360" w:lineRule="auto"/>
        <w:rPr>
          <w:lang w:val="es-ES"/>
        </w:rPr>
      </w:pPr>
    </w:p>
    <w:p w:rsidR="00D62E97" w:rsidRPr="00FA62D3" w:rsidRDefault="00D62E97" w:rsidP="00501223">
      <w:pPr>
        <w:spacing w:line="360" w:lineRule="auto"/>
        <w:rPr>
          <w:lang w:val="es-ES"/>
        </w:rPr>
      </w:pPr>
    </w:p>
    <w:sectPr w:rsidR="00D62E97" w:rsidRPr="00FA62D3" w:rsidSect="00A418DB">
      <w:pgSz w:w="11906" w:h="16838"/>
      <w:pgMar w:top="1440" w:right="1274" w:bottom="1440" w:left="1560" w:header="720"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85" w:rsidRDefault="00711185" w:rsidP="00003B90">
      <w:pPr>
        <w:spacing w:after="0" w:line="240" w:lineRule="auto"/>
      </w:pPr>
      <w:r>
        <w:separator/>
      </w:r>
    </w:p>
  </w:endnote>
  <w:endnote w:type="continuationSeparator" w:id="0">
    <w:p w:rsidR="00711185" w:rsidRDefault="00711185" w:rsidP="0000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71">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85" w:rsidRDefault="00711185" w:rsidP="00003B90">
      <w:pPr>
        <w:spacing w:after="0" w:line="240" w:lineRule="auto"/>
      </w:pPr>
      <w:r>
        <w:separator/>
      </w:r>
    </w:p>
  </w:footnote>
  <w:footnote w:type="continuationSeparator" w:id="0">
    <w:p w:rsidR="00711185" w:rsidRDefault="00711185" w:rsidP="00003B90">
      <w:pPr>
        <w:spacing w:after="0" w:line="240" w:lineRule="auto"/>
      </w:pPr>
      <w:r>
        <w:continuationSeparator/>
      </w:r>
    </w:p>
  </w:footnote>
  <w:footnote w:id="1">
    <w:p w:rsidR="004326CA" w:rsidRPr="004326CA" w:rsidRDefault="004326CA" w:rsidP="004326CA">
      <w:pPr>
        <w:spacing w:line="276" w:lineRule="auto"/>
        <w:rPr>
          <w:lang w:val="fr-FR"/>
        </w:rPr>
      </w:pPr>
      <w:r w:rsidRPr="004326CA">
        <w:rPr>
          <w:rStyle w:val="Refdenotaalpie"/>
        </w:rPr>
        <w:footnoteRef/>
      </w:r>
      <w:r w:rsidRPr="004326CA">
        <w:rPr>
          <w:lang w:val="fr-FR"/>
        </w:rPr>
        <w:t xml:space="preserve"> Source : </w:t>
      </w:r>
      <w:hyperlink r:id="rId1" w:history="1">
        <w:r w:rsidRPr="004326CA">
          <w:rPr>
            <w:rStyle w:val="Hipervnculo"/>
            <w:lang w:val="fr-FR"/>
          </w:rPr>
          <w:t>http://www.globalresearch.ca/the-national-security-industrial-complex-and-nsa-spying-the-revolving-doors-between-state-agencies-and-private-contractors/5339634</w:t>
        </w:r>
      </w:hyperlink>
    </w:p>
    <w:p w:rsidR="004326CA" w:rsidRPr="004326CA" w:rsidRDefault="004326CA">
      <w:pPr>
        <w:pStyle w:val="Textonotapie"/>
        <w:rPr>
          <w:lang w:val="fr-FR"/>
        </w:rPr>
      </w:pPr>
    </w:p>
  </w:footnote>
  <w:footnote w:id="2">
    <w:p w:rsidR="002D2073" w:rsidRPr="004326CA" w:rsidRDefault="002D2073" w:rsidP="00501223">
      <w:pPr>
        <w:spacing w:line="240" w:lineRule="auto"/>
        <w:rPr>
          <w:lang w:val="fr-FR"/>
        </w:rPr>
      </w:pPr>
      <w:r w:rsidRPr="004326CA">
        <w:rPr>
          <w:rStyle w:val="Refdenotaalpie"/>
        </w:rPr>
        <w:footnoteRef/>
      </w:r>
      <w:r w:rsidRPr="004326CA">
        <w:rPr>
          <w:lang w:val="fr-FR"/>
        </w:rPr>
        <w:t xml:space="preserve"> </w:t>
      </w:r>
      <w:r w:rsidR="00711185">
        <w:fldChar w:fldCharType="begin"/>
      </w:r>
      <w:r w:rsidR="00711185" w:rsidRPr="00300FC4">
        <w:rPr>
          <w:lang w:val="fr-FR"/>
        </w:rPr>
        <w:instrText xml:space="preserve"> HYPERLINK "http://www.oecd.org/newsroom/dolobbyistshavetoomuchinfluence.htm" </w:instrText>
      </w:r>
      <w:r w:rsidR="00711185">
        <w:fldChar w:fldCharType="separate"/>
      </w:r>
      <w:r w:rsidRPr="004326CA">
        <w:rPr>
          <w:rStyle w:val="Hipervnculo"/>
          <w:lang w:val="fr-FR"/>
        </w:rPr>
        <w:t>http://www.oecd.org/newsroom/dolobbyistshavetoomuchinfluence.htm</w:t>
      </w:r>
      <w:r w:rsidR="00711185">
        <w:rPr>
          <w:rStyle w:val="Hipervnculo"/>
          <w:lang w:val="fr-FR"/>
        </w:rPr>
        <w:fldChar w:fldCharType="end"/>
      </w:r>
    </w:p>
  </w:footnote>
  <w:footnote w:id="3">
    <w:p w:rsidR="00003B90" w:rsidRPr="00300FC4" w:rsidRDefault="00003B90" w:rsidP="00501223">
      <w:pPr>
        <w:pStyle w:val="Textonotapie"/>
        <w:spacing w:line="240" w:lineRule="auto"/>
        <w:rPr>
          <w:lang w:val="fr-FR"/>
        </w:rPr>
      </w:pPr>
      <w:r w:rsidRPr="004326CA">
        <w:rPr>
          <w:rStyle w:val="Refdenotaalpie"/>
        </w:rPr>
        <w:footnoteRef/>
      </w:r>
      <w:r w:rsidRPr="00300FC4">
        <w:rPr>
          <w:lang w:val="fr-FR"/>
        </w:rPr>
        <w:t xml:space="preserve"> </w:t>
      </w:r>
      <w:hyperlink r:id="rId2" w:history="1">
        <w:r w:rsidRPr="00300FC4">
          <w:rPr>
            <w:rStyle w:val="Hipervnculo"/>
            <w:lang w:val="fr-FR"/>
          </w:rPr>
          <w:t>http://stats.oecd.org/glossary/detail.asp?ID=7206</w:t>
        </w:r>
      </w:hyperlink>
      <w:r w:rsidRPr="00300FC4">
        <w:rPr>
          <w:lang w:val="fr-FR"/>
        </w:rPr>
        <w:t xml:space="preserve"> </w:t>
      </w:r>
    </w:p>
  </w:footnote>
  <w:footnote w:id="4">
    <w:p w:rsidR="00501223" w:rsidRPr="004326CA" w:rsidRDefault="00501223" w:rsidP="00501223">
      <w:pPr>
        <w:pStyle w:val="Textonotapie"/>
        <w:spacing w:line="240" w:lineRule="auto"/>
        <w:rPr>
          <w:lang w:val="es-ES"/>
        </w:rPr>
      </w:pPr>
      <w:r w:rsidRPr="004326CA">
        <w:rPr>
          <w:rStyle w:val="Refdenotaalpie"/>
        </w:rPr>
        <w:footnoteRef/>
      </w:r>
      <w:r w:rsidRPr="004326CA">
        <w:t xml:space="preserve"> </w:t>
      </w:r>
      <w:r w:rsidRPr="004326CA">
        <w:rPr>
          <w:lang w:val="es-ES"/>
        </w:rPr>
        <w:t xml:space="preserve">Esta tabla no formó parte del capítulo publicado en </w:t>
      </w:r>
      <w:r w:rsidRPr="004326CA">
        <w:t xml:space="preserve">el libro realizado por el </w:t>
      </w:r>
      <w:hyperlink r:id="rId3" w:tgtFrame="_blank" w:history="1">
        <w:r w:rsidRPr="004326CA">
          <w:rPr>
            <w:rStyle w:val="Hipervnculo"/>
          </w:rPr>
          <w:t>Foro Empresarial APRI</w:t>
        </w:r>
      </w:hyperlink>
      <w:r w:rsidRPr="004326CA">
        <w:t xml:space="preserve">, El Lobby en España ¿asignatura pendiente?, publicado por la editorial </w:t>
      </w:r>
      <w:hyperlink r:id="rId4" w:tgtFrame="_blank" w:history="1">
        <w:r w:rsidRPr="004326CA">
          <w:rPr>
            <w:rStyle w:val="Hipervnculo"/>
          </w:rPr>
          <w:t>Algón Editores</w:t>
        </w:r>
      </w:hyperlink>
      <w:r w:rsidRPr="004326CA">
        <w:rPr>
          <w:lang w:val="es-ES"/>
        </w:rPr>
        <w:t xml:space="preserve">. Se puede consultar la tabla en el siguiente enlace: </w:t>
      </w:r>
      <w:hyperlink r:id="rId5" w:history="1">
        <w:r w:rsidRPr="004326CA">
          <w:rPr>
            <w:rStyle w:val="Hipervnculo"/>
            <w:lang w:val="es-ES"/>
          </w:rPr>
          <w:t>http://www.access-info.org/es/lobbying-transparency/402-lobby-spain</w:t>
        </w:r>
      </w:hyperlink>
      <w:r w:rsidRPr="004326CA">
        <w:rPr>
          <w:lang w:val="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3A7D"/>
    <w:multiLevelType w:val="hybridMultilevel"/>
    <w:tmpl w:val="A73644B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76215A1"/>
    <w:multiLevelType w:val="hybridMultilevel"/>
    <w:tmpl w:val="053A03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72881DA5"/>
    <w:multiLevelType w:val="hybridMultilevel"/>
    <w:tmpl w:val="16BA4A24"/>
    <w:lvl w:ilvl="0" w:tplc="127A1CC8">
      <w:start w:val="1"/>
      <w:numFmt w:val="bullet"/>
      <w:lvlText w:val="»"/>
      <w:lvlJc w:val="left"/>
      <w:pPr>
        <w:ind w:left="1068" w:hanging="360"/>
      </w:pPr>
      <w:rPr>
        <w:rFonts w:ascii="Verdana" w:hAnsi="Verdana" w:hint="default"/>
        <w:b/>
        <w:color w:val="31849B"/>
        <w:kern w:val="20"/>
        <w:sz w:val="24"/>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BB"/>
    <w:rsid w:val="00003B90"/>
    <w:rsid w:val="00013AE6"/>
    <w:rsid w:val="00041936"/>
    <w:rsid w:val="000456F0"/>
    <w:rsid w:val="000647C1"/>
    <w:rsid w:val="00087478"/>
    <w:rsid w:val="000B57B8"/>
    <w:rsid w:val="000B7DCF"/>
    <w:rsid w:val="000C3CB2"/>
    <w:rsid w:val="000D0C8D"/>
    <w:rsid w:val="000D7C8E"/>
    <w:rsid w:val="000F5DB8"/>
    <w:rsid w:val="00114971"/>
    <w:rsid w:val="00116509"/>
    <w:rsid w:val="00122194"/>
    <w:rsid w:val="00135905"/>
    <w:rsid w:val="00142DF8"/>
    <w:rsid w:val="00146614"/>
    <w:rsid w:val="001506E7"/>
    <w:rsid w:val="00150DF5"/>
    <w:rsid w:val="00156D68"/>
    <w:rsid w:val="00160C1D"/>
    <w:rsid w:val="0017189D"/>
    <w:rsid w:val="00185F79"/>
    <w:rsid w:val="001C58CB"/>
    <w:rsid w:val="001C7D94"/>
    <w:rsid w:val="001D56B1"/>
    <w:rsid w:val="001D689E"/>
    <w:rsid w:val="001F2331"/>
    <w:rsid w:val="0025560E"/>
    <w:rsid w:val="002636A3"/>
    <w:rsid w:val="00265C5C"/>
    <w:rsid w:val="00280E0A"/>
    <w:rsid w:val="002A2D34"/>
    <w:rsid w:val="002C19AE"/>
    <w:rsid w:val="002D2073"/>
    <w:rsid w:val="002E3819"/>
    <w:rsid w:val="002E526F"/>
    <w:rsid w:val="002E6A91"/>
    <w:rsid w:val="002F5A35"/>
    <w:rsid w:val="00300FC4"/>
    <w:rsid w:val="00303D30"/>
    <w:rsid w:val="00306821"/>
    <w:rsid w:val="00312274"/>
    <w:rsid w:val="00320A7F"/>
    <w:rsid w:val="00324078"/>
    <w:rsid w:val="00335AB8"/>
    <w:rsid w:val="00345ED6"/>
    <w:rsid w:val="003478FB"/>
    <w:rsid w:val="0036593F"/>
    <w:rsid w:val="003B116D"/>
    <w:rsid w:val="003B5E82"/>
    <w:rsid w:val="003C385B"/>
    <w:rsid w:val="003F4C92"/>
    <w:rsid w:val="004114CC"/>
    <w:rsid w:val="00412523"/>
    <w:rsid w:val="00431914"/>
    <w:rsid w:val="004326CA"/>
    <w:rsid w:val="004444A3"/>
    <w:rsid w:val="00452CE5"/>
    <w:rsid w:val="00464EBC"/>
    <w:rsid w:val="00473763"/>
    <w:rsid w:val="0047458A"/>
    <w:rsid w:val="004B6E6B"/>
    <w:rsid w:val="004B71BB"/>
    <w:rsid w:val="004D0BB1"/>
    <w:rsid w:val="004F2F4E"/>
    <w:rsid w:val="00501223"/>
    <w:rsid w:val="00507B7D"/>
    <w:rsid w:val="00514FCA"/>
    <w:rsid w:val="00541244"/>
    <w:rsid w:val="005428F2"/>
    <w:rsid w:val="00554A4B"/>
    <w:rsid w:val="00580682"/>
    <w:rsid w:val="005B00E5"/>
    <w:rsid w:val="005C3942"/>
    <w:rsid w:val="00600B8B"/>
    <w:rsid w:val="006070CD"/>
    <w:rsid w:val="006215F3"/>
    <w:rsid w:val="006A2034"/>
    <w:rsid w:val="006A5732"/>
    <w:rsid w:val="006C4E18"/>
    <w:rsid w:val="006D27C8"/>
    <w:rsid w:val="006D5AF9"/>
    <w:rsid w:val="00701145"/>
    <w:rsid w:val="00710F54"/>
    <w:rsid w:val="00711185"/>
    <w:rsid w:val="00711ADE"/>
    <w:rsid w:val="00713771"/>
    <w:rsid w:val="00727079"/>
    <w:rsid w:val="00735CD1"/>
    <w:rsid w:val="0075613B"/>
    <w:rsid w:val="007701A3"/>
    <w:rsid w:val="00772FFF"/>
    <w:rsid w:val="007777B6"/>
    <w:rsid w:val="0079500F"/>
    <w:rsid w:val="007A4AFF"/>
    <w:rsid w:val="007B0BFE"/>
    <w:rsid w:val="007B7CE2"/>
    <w:rsid w:val="007C6F1D"/>
    <w:rsid w:val="00800B39"/>
    <w:rsid w:val="00804A73"/>
    <w:rsid w:val="00815C6A"/>
    <w:rsid w:val="00827F25"/>
    <w:rsid w:val="00835705"/>
    <w:rsid w:val="00865225"/>
    <w:rsid w:val="0087769C"/>
    <w:rsid w:val="00882479"/>
    <w:rsid w:val="0088576C"/>
    <w:rsid w:val="00887611"/>
    <w:rsid w:val="0089216A"/>
    <w:rsid w:val="00897FD1"/>
    <w:rsid w:val="008A3292"/>
    <w:rsid w:val="008E2489"/>
    <w:rsid w:val="008F0265"/>
    <w:rsid w:val="008F2D98"/>
    <w:rsid w:val="00916F93"/>
    <w:rsid w:val="009302B7"/>
    <w:rsid w:val="00931760"/>
    <w:rsid w:val="009420B8"/>
    <w:rsid w:val="00954C1F"/>
    <w:rsid w:val="00986964"/>
    <w:rsid w:val="009A4D31"/>
    <w:rsid w:val="009E0AE8"/>
    <w:rsid w:val="009E67BF"/>
    <w:rsid w:val="009F7A2D"/>
    <w:rsid w:val="00A0259D"/>
    <w:rsid w:val="00A4079E"/>
    <w:rsid w:val="00A418DB"/>
    <w:rsid w:val="00A5214A"/>
    <w:rsid w:val="00A55B96"/>
    <w:rsid w:val="00A66461"/>
    <w:rsid w:val="00A70973"/>
    <w:rsid w:val="00A76B02"/>
    <w:rsid w:val="00A80140"/>
    <w:rsid w:val="00A919BA"/>
    <w:rsid w:val="00AA1B11"/>
    <w:rsid w:val="00AB1DDA"/>
    <w:rsid w:val="00AB4379"/>
    <w:rsid w:val="00AB660F"/>
    <w:rsid w:val="00AD0507"/>
    <w:rsid w:val="00AE1B67"/>
    <w:rsid w:val="00AE4EF4"/>
    <w:rsid w:val="00AF1990"/>
    <w:rsid w:val="00AF3557"/>
    <w:rsid w:val="00AF5E0A"/>
    <w:rsid w:val="00B1480A"/>
    <w:rsid w:val="00B1556C"/>
    <w:rsid w:val="00B549C6"/>
    <w:rsid w:val="00B55529"/>
    <w:rsid w:val="00B57D18"/>
    <w:rsid w:val="00B76B5D"/>
    <w:rsid w:val="00B84C95"/>
    <w:rsid w:val="00B8601F"/>
    <w:rsid w:val="00B94DCE"/>
    <w:rsid w:val="00BB4CE2"/>
    <w:rsid w:val="00BC0F6A"/>
    <w:rsid w:val="00BD3AF4"/>
    <w:rsid w:val="00C11CE1"/>
    <w:rsid w:val="00C42D87"/>
    <w:rsid w:val="00C55378"/>
    <w:rsid w:val="00C7317A"/>
    <w:rsid w:val="00C74F2C"/>
    <w:rsid w:val="00C86E4D"/>
    <w:rsid w:val="00CA7757"/>
    <w:rsid w:val="00CB29DC"/>
    <w:rsid w:val="00CB3E36"/>
    <w:rsid w:val="00CC2CC6"/>
    <w:rsid w:val="00CC3336"/>
    <w:rsid w:val="00CD090F"/>
    <w:rsid w:val="00CD7A99"/>
    <w:rsid w:val="00CE340A"/>
    <w:rsid w:val="00CF52F3"/>
    <w:rsid w:val="00D33AEF"/>
    <w:rsid w:val="00D344D4"/>
    <w:rsid w:val="00D62E97"/>
    <w:rsid w:val="00D7238C"/>
    <w:rsid w:val="00D72BBE"/>
    <w:rsid w:val="00D778DA"/>
    <w:rsid w:val="00D85477"/>
    <w:rsid w:val="00DA30CF"/>
    <w:rsid w:val="00DA312B"/>
    <w:rsid w:val="00DE21E1"/>
    <w:rsid w:val="00E13323"/>
    <w:rsid w:val="00E259FB"/>
    <w:rsid w:val="00E40EA9"/>
    <w:rsid w:val="00E42B32"/>
    <w:rsid w:val="00E55868"/>
    <w:rsid w:val="00E732E7"/>
    <w:rsid w:val="00EC0404"/>
    <w:rsid w:val="00EC090C"/>
    <w:rsid w:val="00EC31EA"/>
    <w:rsid w:val="00ED0803"/>
    <w:rsid w:val="00ED7C80"/>
    <w:rsid w:val="00EE2A12"/>
    <w:rsid w:val="00EF3928"/>
    <w:rsid w:val="00F0196F"/>
    <w:rsid w:val="00F400F8"/>
    <w:rsid w:val="00F51357"/>
    <w:rsid w:val="00F55DB8"/>
    <w:rsid w:val="00FA62D3"/>
    <w:rsid w:val="00FB63D9"/>
    <w:rsid w:val="00FC0E2F"/>
    <w:rsid w:val="00FC2944"/>
    <w:rsid w:val="00FD01E1"/>
    <w:rsid w:val="00FD5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1F"/>
    <w:pPr>
      <w:suppressAutoHyphens/>
      <w:spacing w:after="200" w:line="300" w:lineRule="exact"/>
    </w:pPr>
    <w:rPr>
      <w:rFonts w:ascii="Verdana" w:eastAsia="SimSun" w:hAnsi="Verdana" w:cs="font371"/>
      <w:kern w:val="1"/>
      <w:lang w:val="es-ES_tradnl" w:eastAsia="ar-SA"/>
    </w:rPr>
  </w:style>
  <w:style w:type="paragraph" w:styleId="Ttulo1">
    <w:name w:val="heading 1"/>
    <w:basedOn w:val="Normal"/>
    <w:next w:val="Normal"/>
    <w:link w:val="Ttulo1Car"/>
    <w:uiPriority w:val="9"/>
    <w:qFormat/>
    <w:rsid w:val="007C6F1D"/>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customStyle="1" w:styleId="BalloonTextChar">
    <w:name w:val="Balloon Text Char"/>
    <w:rPr>
      <w:rFonts w:ascii="Tahoma" w:hAnsi="Tahoma" w:cs="Tahoma"/>
      <w:sz w:val="16"/>
      <w:szCs w:val="16"/>
    </w:rPr>
  </w:style>
  <w:style w:type="character" w:styleId="Hipervnculovisitado">
    <w:name w:val="FollowedHyperlink"/>
    <w:rPr>
      <w:color w:val="800080"/>
      <w:u w:val="single"/>
    </w:rPr>
  </w:style>
  <w:style w:type="paragraph" w:customStyle="1" w:styleId="Rubrik">
    <w:name w:val="Rubrik"/>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Bildtext">
    <w:name w:val="Bildtext"/>
    <w:basedOn w:val="Normal"/>
    <w:pPr>
      <w:suppressLineNumbers/>
      <w:spacing w:before="120" w:after="120"/>
    </w:pPr>
    <w:rPr>
      <w:rFonts w:cs="Mangal"/>
      <w:i/>
      <w:iCs/>
      <w:sz w:val="24"/>
      <w:szCs w:val="24"/>
    </w:rPr>
  </w:style>
  <w:style w:type="paragraph" w:customStyle="1" w:styleId="Frteckning">
    <w:name w:val="Förteckning"/>
    <w:basedOn w:val="Normal"/>
    <w:pPr>
      <w:suppressLineNumbers/>
    </w:pPr>
    <w:rPr>
      <w:rFonts w:cs="Mangal"/>
    </w:rPr>
  </w:style>
  <w:style w:type="paragraph" w:styleId="Textodeglobo">
    <w:name w:val="Balloon Text"/>
    <w:basedOn w:val="Normal"/>
    <w:pPr>
      <w:spacing w:after="0" w:line="100" w:lineRule="atLeast"/>
    </w:pPr>
    <w:rPr>
      <w:rFonts w:ascii="Tahoma" w:hAnsi="Tahoma" w:cs="Tahoma"/>
      <w:sz w:val="16"/>
      <w:szCs w:val="16"/>
    </w:rPr>
  </w:style>
  <w:style w:type="character" w:customStyle="1" w:styleId="Ttulo1Car">
    <w:name w:val="Título 1 Car"/>
    <w:link w:val="Ttulo1"/>
    <w:uiPriority w:val="9"/>
    <w:rsid w:val="007C6F1D"/>
    <w:rPr>
      <w:rFonts w:ascii="Cambria" w:eastAsia="Times New Roman" w:hAnsi="Cambria" w:cs="Times New Roman"/>
      <w:b/>
      <w:bCs/>
      <w:kern w:val="32"/>
      <w:sz w:val="32"/>
      <w:szCs w:val="32"/>
      <w:lang w:val="es-ES_tradnl" w:eastAsia="ar-SA"/>
    </w:rPr>
  </w:style>
  <w:style w:type="paragraph" w:styleId="Textocomentario">
    <w:name w:val="annotation text"/>
    <w:basedOn w:val="Normal"/>
    <w:link w:val="TextocomentarioCar"/>
    <w:uiPriority w:val="99"/>
    <w:rsid w:val="00003B90"/>
    <w:pPr>
      <w:widowControl w:val="0"/>
      <w:autoSpaceDN w:val="0"/>
      <w:spacing w:after="0" w:line="240" w:lineRule="auto"/>
      <w:textAlignment w:val="baseline"/>
    </w:pPr>
    <w:rPr>
      <w:rFonts w:cs="Mangal"/>
      <w:kern w:val="3"/>
      <w:szCs w:val="18"/>
      <w:lang w:val="en-GB" w:eastAsia="zh-CN" w:bidi="hi-IN"/>
    </w:rPr>
  </w:style>
  <w:style w:type="character" w:customStyle="1" w:styleId="TextocomentarioCar">
    <w:name w:val="Texto comentario Car"/>
    <w:link w:val="Textocomentario"/>
    <w:uiPriority w:val="99"/>
    <w:rsid w:val="00003B90"/>
    <w:rPr>
      <w:rFonts w:ascii="Verdana" w:eastAsia="SimSun" w:hAnsi="Verdana" w:cs="Mangal"/>
      <w:kern w:val="3"/>
      <w:szCs w:val="18"/>
      <w:lang w:eastAsia="zh-CN" w:bidi="hi-IN"/>
    </w:rPr>
  </w:style>
  <w:style w:type="character" w:styleId="Refdecomentario">
    <w:name w:val="annotation reference"/>
    <w:uiPriority w:val="99"/>
    <w:rsid w:val="00003B90"/>
    <w:rPr>
      <w:sz w:val="16"/>
      <w:szCs w:val="16"/>
    </w:rPr>
  </w:style>
  <w:style w:type="paragraph" w:styleId="Textonotapie">
    <w:name w:val="footnote text"/>
    <w:basedOn w:val="Normal"/>
    <w:link w:val="TextonotapieCar"/>
    <w:uiPriority w:val="99"/>
    <w:semiHidden/>
    <w:unhideWhenUsed/>
    <w:rsid w:val="00003B90"/>
  </w:style>
  <w:style w:type="character" w:customStyle="1" w:styleId="TextonotapieCar">
    <w:name w:val="Texto nota pie Car"/>
    <w:link w:val="Textonotapie"/>
    <w:uiPriority w:val="99"/>
    <w:semiHidden/>
    <w:rsid w:val="00003B90"/>
    <w:rPr>
      <w:rFonts w:ascii="Verdana" w:eastAsia="SimSun" w:hAnsi="Verdana" w:cs="font371"/>
      <w:kern w:val="1"/>
      <w:lang w:val="es-ES_tradnl" w:eastAsia="ar-SA"/>
    </w:rPr>
  </w:style>
  <w:style w:type="character" w:styleId="Refdenotaalpie">
    <w:name w:val="footnote reference"/>
    <w:uiPriority w:val="99"/>
    <w:semiHidden/>
    <w:unhideWhenUsed/>
    <w:rsid w:val="00003B90"/>
    <w:rPr>
      <w:vertAlign w:val="superscript"/>
    </w:rPr>
  </w:style>
  <w:style w:type="character" w:customStyle="1" w:styleId="a">
    <w:name w:val="_"/>
    <w:basedOn w:val="Fuentedeprrafopredeter"/>
    <w:rsid w:val="007701A3"/>
  </w:style>
  <w:style w:type="paragraph" w:styleId="Asuntodelcomentario">
    <w:name w:val="annotation subject"/>
    <w:basedOn w:val="Textocomentario"/>
    <w:next w:val="Textocomentario"/>
    <w:link w:val="AsuntodelcomentarioCar"/>
    <w:uiPriority w:val="99"/>
    <w:semiHidden/>
    <w:unhideWhenUsed/>
    <w:rsid w:val="00312274"/>
    <w:pPr>
      <w:widowControl/>
      <w:autoSpaceDN/>
      <w:spacing w:after="200" w:line="300" w:lineRule="exact"/>
      <w:textAlignment w:val="auto"/>
    </w:pPr>
    <w:rPr>
      <w:rFonts w:cs="font371"/>
      <w:b/>
      <w:bCs/>
      <w:kern w:val="1"/>
      <w:szCs w:val="20"/>
      <w:lang w:val="es-ES_tradnl" w:eastAsia="ar-SA" w:bidi="ar-SA"/>
    </w:rPr>
  </w:style>
  <w:style w:type="character" w:customStyle="1" w:styleId="AsuntodelcomentarioCar">
    <w:name w:val="Asunto del comentario Car"/>
    <w:link w:val="Asuntodelcomentario"/>
    <w:uiPriority w:val="99"/>
    <w:semiHidden/>
    <w:rsid w:val="00312274"/>
    <w:rPr>
      <w:rFonts w:ascii="Verdana" w:eastAsia="SimSun" w:hAnsi="Verdana" w:cs="font371"/>
      <w:b/>
      <w:bCs/>
      <w:kern w:val="1"/>
      <w:szCs w:val="18"/>
      <w:lang w:val="es-ES_tradnl"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1F"/>
    <w:pPr>
      <w:suppressAutoHyphens/>
      <w:spacing w:after="200" w:line="300" w:lineRule="exact"/>
    </w:pPr>
    <w:rPr>
      <w:rFonts w:ascii="Verdana" w:eastAsia="SimSun" w:hAnsi="Verdana" w:cs="font371"/>
      <w:kern w:val="1"/>
      <w:lang w:val="es-ES_tradnl" w:eastAsia="ar-SA"/>
    </w:rPr>
  </w:style>
  <w:style w:type="paragraph" w:styleId="Ttulo1">
    <w:name w:val="heading 1"/>
    <w:basedOn w:val="Normal"/>
    <w:next w:val="Normal"/>
    <w:link w:val="Ttulo1Car"/>
    <w:uiPriority w:val="9"/>
    <w:qFormat/>
    <w:rsid w:val="007C6F1D"/>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customStyle="1" w:styleId="BalloonTextChar">
    <w:name w:val="Balloon Text Char"/>
    <w:rPr>
      <w:rFonts w:ascii="Tahoma" w:hAnsi="Tahoma" w:cs="Tahoma"/>
      <w:sz w:val="16"/>
      <w:szCs w:val="16"/>
    </w:rPr>
  </w:style>
  <w:style w:type="character" w:styleId="Hipervnculovisitado">
    <w:name w:val="FollowedHyperlink"/>
    <w:rPr>
      <w:color w:val="800080"/>
      <w:u w:val="single"/>
    </w:rPr>
  </w:style>
  <w:style w:type="paragraph" w:customStyle="1" w:styleId="Rubrik">
    <w:name w:val="Rubrik"/>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Bildtext">
    <w:name w:val="Bildtext"/>
    <w:basedOn w:val="Normal"/>
    <w:pPr>
      <w:suppressLineNumbers/>
      <w:spacing w:before="120" w:after="120"/>
    </w:pPr>
    <w:rPr>
      <w:rFonts w:cs="Mangal"/>
      <w:i/>
      <w:iCs/>
      <w:sz w:val="24"/>
      <w:szCs w:val="24"/>
    </w:rPr>
  </w:style>
  <w:style w:type="paragraph" w:customStyle="1" w:styleId="Frteckning">
    <w:name w:val="Förteckning"/>
    <w:basedOn w:val="Normal"/>
    <w:pPr>
      <w:suppressLineNumbers/>
    </w:pPr>
    <w:rPr>
      <w:rFonts w:cs="Mangal"/>
    </w:rPr>
  </w:style>
  <w:style w:type="paragraph" w:styleId="Textodeglobo">
    <w:name w:val="Balloon Text"/>
    <w:basedOn w:val="Normal"/>
    <w:pPr>
      <w:spacing w:after="0" w:line="100" w:lineRule="atLeast"/>
    </w:pPr>
    <w:rPr>
      <w:rFonts w:ascii="Tahoma" w:hAnsi="Tahoma" w:cs="Tahoma"/>
      <w:sz w:val="16"/>
      <w:szCs w:val="16"/>
    </w:rPr>
  </w:style>
  <w:style w:type="character" w:customStyle="1" w:styleId="Ttulo1Car">
    <w:name w:val="Título 1 Car"/>
    <w:link w:val="Ttulo1"/>
    <w:uiPriority w:val="9"/>
    <w:rsid w:val="007C6F1D"/>
    <w:rPr>
      <w:rFonts w:ascii="Cambria" w:eastAsia="Times New Roman" w:hAnsi="Cambria" w:cs="Times New Roman"/>
      <w:b/>
      <w:bCs/>
      <w:kern w:val="32"/>
      <w:sz w:val="32"/>
      <w:szCs w:val="32"/>
      <w:lang w:val="es-ES_tradnl" w:eastAsia="ar-SA"/>
    </w:rPr>
  </w:style>
  <w:style w:type="paragraph" w:styleId="Textocomentario">
    <w:name w:val="annotation text"/>
    <w:basedOn w:val="Normal"/>
    <w:link w:val="TextocomentarioCar"/>
    <w:uiPriority w:val="99"/>
    <w:rsid w:val="00003B90"/>
    <w:pPr>
      <w:widowControl w:val="0"/>
      <w:autoSpaceDN w:val="0"/>
      <w:spacing w:after="0" w:line="240" w:lineRule="auto"/>
      <w:textAlignment w:val="baseline"/>
    </w:pPr>
    <w:rPr>
      <w:rFonts w:cs="Mangal"/>
      <w:kern w:val="3"/>
      <w:szCs w:val="18"/>
      <w:lang w:val="en-GB" w:eastAsia="zh-CN" w:bidi="hi-IN"/>
    </w:rPr>
  </w:style>
  <w:style w:type="character" w:customStyle="1" w:styleId="TextocomentarioCar">
    <w:name w:val="Texto comentario Car"/>
    <w:link w:val="Textocomentario"/>
    <w:uiPriority w:val="99"/>
    <w:rsid w:val="00003B90"/>
    <w:rPr>
      <w:rFonts w:ascii="Verdana" w:eastAsia="SimSun" w:hAnsi="Verdana" w:cs="Mangal"/>
      <w:kern w:val="3"/>
      <w:szCs w:val="18"/>
      <w:lang w:eastAsia="zh-CN" w:bidi="hi-IN"/>
    </w:rPr>
  </w:style>
  <w:style w:type="character" w:styleId="Refdecomentario">
    <w:name w:val="annotation reference"/>
    <w:uiPriority w:val="99"/>
    <w:rsid w:val="00003B90"/>
    <w:rPr>
      <w:sz w:val="16"/>
      <w:szCs w:val="16"/>
    </w:rPr>
  </w:style>
  <w:style w:type="paragraph" w:styleId="Textonotapie">
    <w:name w:val="footnote text"/>
    <w:basedOn w:val="Normal"/>
    <w:link w:val="TextonotapieCar"/>
    <w:uiPriority w:val="99"/>
    <w:semiHidden/>
    <w:unhideWhenUsed/>
    <w:rsid w:val="00003B90"/>
  </w:style>
  <w:style w:type="character" w:customStyle="1" w:styleId="TextonotapieCar">
    <w:name w:val="Texto nota pie Car"/>
    <w:link w:val="Textonotapie"/>
    <w:uiPriority w:val="99"/>
    <w:semiHidden/>
    <w:rsid w:val="00003B90"/>
    <w:rPr>
      <w:rFonts w:ascii="Verdana" w:eastAsia="SimSun" w:hAnsi="Verdana" w:cs="font371"/>
      <w:kern w:val="1"/>
      <w:lang w:val="es-ES_tradnl" w:eastAsia="ar-SA"/>
    </w:rPr>
  </w:style>
  <w:style w:type="character" w:styleId="Refdenotaalpie">
    <w:name w:val="footnote reference"/>
    <w:uiPriority w:val="99"/>
    <w:semiHidden/>
    <w:unhideWhenUsed/>
    <w:rsid w:val="00003B90"/>
    <w:rPr>
      <w:vertAlign w:val="superscript"/>
    </w:rPr>
  </w:style>
  <w:style w:type="character" w:customStyle="1" w:styleId="a">
    <w:name w:val="_"/>
    <w:basedOn w:val="Fuentedeprrafopredeter"/>
    <w:rsid w:val="007701A3"/>
  </w:style>
  <w:style w:type="paragraph" w:styleId="Asuntodelcomentario">
    <w:name w:val="annotation subject"/>
    <w:basedOn w:val="Textocomentario"/>
    <w:next w:val="Textocomentario"/>
    <w:link w:val="AsuntodelcomentarioCar"/>
    <w:uiPriority w:val="99"/>
    <w:semiHidden/>
    <w:unhideWhenUsed/>
    <w:rsid w:val="00312274"/>
    <w:pPr>
      <w:widowControl/>
      <w:autoSpaceDN/>
      <w:spacing w:after="200" w:line="300" w:lineRule="exact"/>
      <w:textAlignment w:val="auto"/>
    </w:pPr>
    <w:rPr>
      <w:rFonts w:cs="font371"/>
      <w:b/>
      <w:bCs/>
      <w:kern w:val="1"/>
      <w:szCs w:val="20"/>
      <w:lang w:val="es-ES_tradnl" w:eastAsia="ar-SA" w:bidi="ar-SA"/>
    </w:rPr>
  </w:style>
  <w:style w:type="character" w:customStyle="1" w:styleId="AsuntodelcomentarioCar">
    <w:name w:val="Asunto del comentario Car"/>
    <w:link w:val="Asuntodelcomentario"/>
    <w:uiPriority w:val="99"/>
    <w:semiHidden/>
    <w:rsid w:val="00312274"/>
    <w:rPr>
      <w:rFonts w:ascii="Verdana" w:eastAsia="SimSun" w:hAnsi="Verdana" w:cs="font371"/>
      <w:b/>
      <w:bCs/>
      <w:kern w:val="1"/>
      <w:szCs w:val="18"/>
      <w:lang w:val="es-ES_tradnl"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7407">
      <w:bodyDiv w:val="1"/>
      <w:marLeft w:val="0"/>
      <w:marRight w:val="0"/>
      <w:marTop w:val="0"/>
      <w:marBottom w:val="0"/>
      <w:divBdr>
        <w:top w:val="none" w:sz="0" w:space="0" w:color="auto"/>
        <w:left w:val="none" w:sz="0" w:space="0" w:color="auto"/>
        <w:bottom w:val="none" w:sz="0" w:space="0" w:color="auto"/>
        <w:right w:val="none" w:sz="0" w:space="0" w:color="auto"/>
      </w:divBdr>
    </w:div>
    <w:div w:id="106315025">
      <w:bodyDiv w:val="1"/>
      <w:marLeft w:val="0"/>
      <w:marRight w:val="0"/>
      <w:marTop w:val="0"/>
      <w:marBottom w:val="0"/>
      <w:divBdr>
        <w:top w:val="none" w:sz="0" w:space="0" w:color="auto"/>
        <w:left w:val="none" w:sz="0" w:space="0" w:color="auto"/>
        <w:bottom w:val="none" w:sz="0" w:space="0" w:color="auto"/>
        <w:right w:val="none" w:sz="0" w:space="0" w:color="auto"/>
      </w:divBdr>
    </w:div>
    <w:div w:id="108727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liament.nz/en-nz/parl-support/research-papers/00PLLawRP12041/lobbying-regimes-an-out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lgoneditores.es/libros/el-lobby-en-espana" TargetMode="External"/><Relationship Id="rId4" Type="http://schemas.microsoft.com/office/2007/relationships/stylesWithEffects" Target="stylesWithEffects.xml"/><Relationship Id="rId9" Type="http://schemas.openxmlformats.org/officeDocument/2006/relationships/hyperlink" Target="http://relacionesinstitucionales.es/foro-empresaria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elacionesinstitucionales.es/foro-empresarial/" TargetMode="External"/><Relationship Id="rId2" Type="http://schemas.openxmlformats.org/officeDocument/2006/relationships/hyperlink" Target="http://stats.oecd.org/glossary/detail.asp?ID=7206" TargetMode="External"/><Relationship Id="rId1" Type="http://schemas.openxmlformats.org/officeDocument/2006/relationships/hyperlink" Target="http://www.globalresearch.ca/the-national-security-industrial-complex-and-nsa-spying-the-revolving-doors-between-state-agencies-and-private-contractors/5339634" TargetMode="External"/><Relationship Id="rId5" Type="http://schemas.openxmlformats.org/officeDocument/2006/relationships/hyperlink" Target="http://www.access-info.org/es/lobbying-transparency/402-lobby-spain" TargetMode="External"/><Relationship Id="rId4" Type="http://schemas.openxmlformats.org/officeDocument/2006/relationships/hyperlink" Target="http://algoneditores.es/libros/el-lobby-en-esp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A286C-7F22-4BA2-B483-72D23197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1718</Words>
  <Characters>9453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Morgane</dc:creator>
  <cp:lastModifiedBy>Vicky</cp:lastModifiedBy>
  <cp:revision>9</cp:revision>
  <cp:lastPrinted>2014-06-26T09:52:00Z</cp:lastPrinted>
  <dcterms:created xsi:type="dcterms:W3CDTF">2013-12-03T13:29:00Z</dcterms:created>
  <dcterms:modified xsi:type="dcterms:W3CDTF">2014-06-26T09:52:00Z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Windows uE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