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A9" w:rsidRDefault="003F260B" w:rsidP="002A1C82">
      <w:pPr>
        <w:jc w:val="center"/>
        <w:rPr>
          <w:rFonts w:ascii="Verdana" w:hAnsi="Verdana" w:cs="Calibri"/>
          <w:b/>
          <w:sz w:val="20"/>
          <w:szCs w:val="20"/>
        </w:rPr>
      </w:pPr>
      <w:r>
        <w:rPr>
          <w:rFonts w:ascii="Verdana" w:hAnsi="Verdana" w:cs="Calibri"/>
          <w:b/>
          <w:sz w:val="20"/>
          <w:szCs w:val="20"/>
        </w:rPr>
        <w:softHyphen/>
      </w:r>
      <w:r>
        <w:rPr>
          <w:rFonts w:ascii="Verdana" w:hAnsi="Verdana" w:cs="Calibri"/>
          <w:b/>
          <w:sz w:val="20"/>
          <w:szCs w:val="20"/>
        </w:rPr>
        <w:softHyphen/>
      </w:r>
      <w:r>
        <w:rPr>
          <w:rFonts w:ascii="Verdana" w:hAnsi="Verdana" w:cs="Calibri"/>
          <w:b/>
          <w:sz w:val="20"/>
          <w:szCs w:val="20"/>
        </w:rPr>
        <w:softHyphen/>
      </w:r>
      <w:r w:rsidR="002D0FA9">
        <w:rPr>
          <w:rFonts w:ascii="Verdana" w:hAnsi="Verdana" w:cs="Calibri"/>
          <w:b/>
          <w:noProof/>
          <w:sz w:val="20"/>
          <w:szCs w:val="20"/>
          <w:lang w:eastAsia="es-ES"/>
        </w:rPr>
        <w:drawing>
          <wp:inline distT="0" distB="0" distL="0" distR="0">
            <wp:extent cx="1202592" cy="94210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Info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159" cy="946463"/>
                    </a:xfrm>
                    <a:prstGeom prst="rect">
                      <a:avLst/>
                    </a:prstGeom>
                  </pic:spPr>
                </pic:pic>
              </a:graphicData>
            </a:graphic>
          </wp:inline>
        </w:drawing>
      </w:r>
    </w:p>
    <w:p w:rsidR="001D3438" w:rsidRDefault="005A600B" w:rsidP="002A1C82">
      <w:pPr>
        <w:jc w:val="center"/>
        <w:rPr>
          <w:rFonts w:ascii="Verdana" w:hAnsi="Verdana" w:cs="Calibri"/>
          <w:b/>
          <w:sz w:val="20"/>
          <w:szCs w:val="20"/>
        </w:rPr>
      </w:pPr>
      <w:r>
        <w:rPr>
          <w:rFonts w:ascii="Verdana" w:hAnsi="Verdana" w:cs="Calibri"/>
          <w:b/>
          <w:sz w:val="20"/>
          <w:szCs w:val="20"/>
        </w:rPr>
        <w:t>Comentarios de Access Info Europe al Proyecto de Ley de Transparencia, Acceso a la Información y Buen Gobierno</w:t>
      </w:r>
      <w:r w:rsidR="004F292D">
        <w:rPr>
          <w:rFonts w:ascii="Verdana" w:hAnsi="Verdana" w:cs="Calibri"/>
          <w:b/>
          <w:sz w:val="20"/>
          <w:szCs w:val="20"/>
        </w:rPr>
        <w:t>,</w:t>
      </w:r>
      <w:r>
        <w:rPr>
          <w:rFonts w:ascii="Verdana" w:hAnsi="Verdana" w:cs="Calibri"/>
          <w:b/>
          <w:sz w:val="20"/>
          <w:szCs w:val="20"/>
        </w:rPr>
        <w:t xml:space="preserve"> aprobado el 27 de julio en el Consejo de Ministros</w:t>
      </w:r>
    </w:p>
    <w:p w:rsidR="00283E83" w:rsidRDefault="005A600B" w:rsidP="002A1C82">
      <w:pPr>
        <w:rPr>
          <w:rFonts w:ascii="Verdana" w:hAnsi="Verdana" w:cs="Calibri"/>
          <w:sz w:val="20"/>
          <w:szCs w:val="20"/>
        </w:rPr>
      </w:pPr>
      <w:r>
        <w:rPr>
          <w:rFonts w:ascii="Verdana" w:hAnsi="Verdana" w:cs="Calibri"/>
          <w:sz w:val="20"/>
          <w:szCs w:val="20"/>
        </w:rPr>
        <w:t>El gobierno español</w:t>
      </w:r>
      <w:r w:rsidR="00FA298E">
        <w:rPr>
          <w:rFonts w:ascii="Verdana" w:hAnsi="Verdana" w:cs="Calibri"/>
          <w:sz w:val="20"/>
          <w:szCs w:val="20"/>
        </w:rPr>
        <w:t xml:space="preserve"> aprob</w:t>
      </w:r>
      <w:bookmarkStart w:id="0" w:name="_GoBack"/>
      <w:bookmarkEnd w:id="0"/>
      <w:r w:rsidR="00FA298E">
        <w:rPr>
          <w:rFonts w:ascii="Verdana" w:hAnsi="Verdana" w:cs="Calibri"/>
          <w:sz w:val="20"/>
          <w:szCs w:val="20"/>
        </w:rPr>
        <w:t>ó</w:t>
      </w:r>
      <w:r>
        <w:rPr>
          <w:rFonts w:ascii="Verdana" w:hAnsi="Verdana" w:cs="Calibri"/>
          <w:sz w:val="20"/>
          <w:szCs w:val="20"/>
        </w:rPr>
        <w:t xml:space="preserve"> el 27 de julio de 2012 un proyecto de ley de </w:t>
      </w:r>
      <w:r>
        <w:rPr>
          <w:rFonts w:ascii="Verdana" w:hAnsi="Verdana" w:cs="Calibri"/>
          <w:sz w:val="20"/>
          <w:szCs w:val="20"/>
        </w:rPr>
        <w:t>transparencia que</w:t>
      </w:r>
      <w:r w:rsidR="003F260B">
        <w:rPr>
          <w:rFonts w:ascii="Verdana" w:hAnsi="Verdana" w:cs="Calibri"/>
          <w:sz w:val="20"/>
          <w:szCs w:val="20"/>
        </w:rPr>
        <w:t xml:space="preserve"> </w:t>
      </w:r>
      <w:r w:rsidR="004F292D">
        <w:rPr>
          <w:rFonts w:ascii="Verdana" w:hAnsi="Verdana" w:cs="Calibri"/>
          <w:sz w:val="20"/>
          <w:szCs w:val="20"/>
        </w:rPr>
        <w:t xml:space="preserve">está por </w:t>
      </w:r>
      <w:r w:rsidR="003F260B">
        <w:rPr>
          <w:rFonts w:ascii="Verdana" w:hAnsi="Verdana" w:cs="Calibri"/>
          <w:sz w:val="20"/>
          <w:szCs w:val="20"/>
        </w:rPr>
        <w:t>debajo de los estándares internacionales</w:t>
      </w:r>
      <w:r w:rsidR="004F292D">
        <w:rPr>
          <w:rFonts w:ascii="Verdana" w:hAnsi="Verdana" w:cs="Calibri"/>
          <w:sz w:val="20"/>
          <w:szCs w:val="20"/>
        </w:rPr>
        <w:t>. E</w:t>
      </w:r>
      <w:r w:rsidR="003F260B">
        <w:rPr>
          <w:rFonts w:ascii="Verdana" w:hAnsi="Verdana" w:cs="Calibri"/>
          <w:sz w:val="20"/>
          <w:szCs w:val="20"/>
        </w:rPr>
        <w:t>ntre otras cosas</w:t>
      </w:r>
      <w:r w:rsidR="004F292D">
        <w:rPr>
          <w:rFonts w:ascii="Verdana" w:hAnsi="Verdana" w:cs="Calibri"/>
          <w:sz w:val="20"/>
          <w:szCs w:val="20"/>
        </w:rPr>
        <w:t>,</w:t>
      </w:r>
      <w:r w:rsidR="003F260B">
        <w:rPr>
          <w:rFonts w:ascii="Verdana" w:hAnsi="Verdana" w:cs="Calibri"/>
          <w:sz w:val="20"/>
          <w:szCs w:val="20"/>
        </w:rPr>
        <w:t xml:space="preserve"> no reconoce</w:t>
      </w:r>
      <w:r>
        <w:rPr>
          <w:rFonts w:ascii="Verdana" w:hAnsi="Verdana" w:cs="Calibri"/>
          <w:sz w:val="20"/>
          <w:szCs w:val="20"/>
        </w:rPr>
        <w:t xml:space="preserve"> el dere</w:t>
      </w:r>
      <w:r w:rsidR="00FA298E">
        <w:rPr>
          <w:rFonts w:ascii="Verdana" w:hAnsi="Verdana" w:cs="Calibri"/>
          <w:sz w:val="20"/>
          <w:szCs w:val="20"/>
        </w:rPr>
        <w:t>cho</w:t>
      </w:r>
      <w:r w:rsidR="008F683E">
        <w:rPr>
          <w:rFonts w:ascii="Verdana" w:hAnsi="Verdana" w:cs="Calibri"/>
          <w:sz w:val="20"/>
          <w:szCs w:val="20"/>
        </w:rPr>
        <w:t xml:space="preserve"> </w:t>
      </w:r>
      <w:r w:rsidR="00FA298E">
        <w:rPr>
          <w:rFonts w:ascii="Verdana" w:hAnsi="Verdana" w:cs="Calibri"/>
          <w:sz w:val="20"/>
          <w:szCs w:val="20"/>
        </w:rPr>
        <w:t>como un derecho fundamental</w:t>
      </w:r>
      <w:r w:rsidR="008F683E">
        <w:rPr>
          <w:rFonts w:ascii="Verdana" w:hAnsi="Verdana" w:cs="Calibri"/>
          <w:sz w:val="20"/>
          <w:szCs w:val="20"/>
        </w:rPr>
        <w:t xml:space="preserve"> y</w:t>
      </w:r>
      <w:r w:rsidR="004F292D">
        <w:rPr>
          <w:rFonts w:ascii="Verdana" w:hAnsi="Verdana" w:cs="Calibri"/>
          <w:sz w:val="20"/>
          <w:szCs w:val="20"/>
        </w:rPr>
        <w:t xml:space="preserve"> tampoco reconoce</w:t>
      </w:r>
      <w:r>
        <w:rPr>
          <w:rFonts w:ascii="Verdana" w:hAnsi="Verdana" w:cs="Calibri"/>
          <w:sz w:val="20"/>
          <w:szCs w:val="20"/>
        </w:rPr>
        <w:t xml:space="preserve"> </w:t>
      </w:r>
      <w:r w:rsidR="008F683E">
        <w:rPr>
          <w:rFonts w:ascii="Verdana" w:hAnsi="Verdana" w:cs="Calibri"/>
          <w:sz w:val="20"/>
          <w:szCs w:val="20"/>
        </w:rPr>
        <w:t>la independencia del</w:t>
      </w:r>
      <w:r w:rsidR="003F260B">
        <w:rPr>
          <w:rFonts w:ascii="Verdana" w:hAnsi="Verdana" w:cs="Calibri"/>
          <w:sz w:val="20"/>
          <w:szCs w:val="20"/>
        </w:rPr>
        <w:t xml:space="preserve"> organismo de recurso.</w:t>
      </w:r>
      <w:r w:rsidR="00283E83">
        <w:rPr>
          <w:rFonts w:ascii="Verdana" w:hAnsi="Verdana" w:cs="Calibri"/>
          <w:sz w:val="20"/>
          <w:szCs w:val="20"/>
        </w:rPr>
        <w:t xml:space="preserve"> Con esa ley España no </w:t>
      </w:r>
      <w:r w:rsidR="00283E83">
        <w:rPr>
          <w:rFonts w:ascii="Verdana" w:hAnsi="Verdana" w:cs="Calibri"/>
          <w:sz w:val="20"/>
          <w:szCs w:val="20"/>
        </w:rPr>
        <w:t xml:space="preserve">podría ratificar </w:t>
      </w:r>
      <w:r w:rsidR="00283E83">
        <w:rPr>
          <w:rFonts w:ascii="Verdana" w:hAnsi="Verdana" w:cs="Calibri"/>
          <w:sz w:val="20"/>
          <w:szCs w:val="20"/>
        </w:rPr>
        <w:t xml:space="preserve">el Convenio del Consejo de Europa sobre acceso a documentos públicos, </w:t>
      </w:r>
      <w:r w:rsidR="004F292D">
        <w:rPr>
          <w:rFonts w:ascii="Verdana" w:hAnsi="Verdana" w:cs="Calibri"/>
          <w:sz w:val="20"/>
          <w:szCs w:val="20"/>
        </w:rPr>
        <w:t xml:space="preserve">ya que tiene </w:t>
      </w:r>
      <w:r w:rsidR="00283E83">
        <w:rPr>
          <w:rFonts w:ascii="Verdana" w:hAnsi="Verdana" w:cs="Calibri"/>
          <w:sz w:val="20"/>
          <w:szCs w:val="20"/>
        </w:rPr>
        <w:t>una definición muy limitada de la información que se puede solicitar</w:t>
      </w:r>
      <w:r w:rsidR="004F292D">
        <w:rPr>
          <w:rFonts w:ascii="Verdana" w:hAnsi="Verdana" w:cs="Calibri"/>
          <w:sz w:val="20"/>
          <w:szCs w:val="20"/>
        </w:rPr>
        <w:t xml:space="preserve"> y excluye</w:t>
      </w:r>
      <w:r w:rsidR="00283E83">
        <w:rPr>
          <w:rFonts w:ascii="Verdana" w:hAnsi="Verdana" w:cs="Calibri"/>
          <w:sz w:val="20"/>
          <w:szCs w:val="20"/>
        </w:rPr>
        <w:t xml:space="preserve"> muchas clases de información</w:t>
      </w:r>
      <w:r w:rsidR="004F292D">
        <w:rPr>
          <w:rFonts w:ascii="Verdana" w:hAnsi="Verdana" w:cs="Calibri"/>
          <w:sz w:val="20"/>
          <w:szCs w:val="20"/>
        </w:rPr>
        <w:t>:</w:t>
      </w:r>
      <w:r w:rsidR="00283E83">
        <w:rPr>
          <w:rFonts w:ascii="Verdana" w:hAnsi="Verdana" w:cs="Calibri"/>
          <w:sz w:val="20"/>
          <w:szCs w:val="20"/>
        </w:rPr>
        <w:t xml:space="preserve"> resúmenes, informes y comunicaciones “internas”</w:t>
      </w:r>
      <w:r w:rsidR="004F292D">
        <w:rPr>
          <w:rFonts w:ascii="Verdana" w:hAnsi="Verdana" w:cs="Calibri"/>
          <w:sz w:val="20"/>
          <w:szCs w:val="20"/>
        </w:rPr>
        <w:t>, por ejemplo</w:t>
      </w:r>
      <w:r w:rsidR="00913EFA">
        <w:rPr>
          <w:rFonts w:ascii="Verdana" w:hAnsi="Verdana" w:cs="Calibri"/>
          <w:sz w:val="20"/>
          <w:szCs w:val="20"/>
        </w:rPr>
        <w:t>.</w:t>
      </w:r>
    </w:p>
    <w:p w:rsidR="00173DA9" w:rsidRDefault="00173DA9" w:rsidP="002A1C82">
      <w:pPr>
        <w:rPr>
          <w:rFonts w:ascii="Verdana" w:hAnsi="Verdana" w:cs="Calibri"/>
          <w:sz w:val="20"/>
          <w:szCs w:val="20"/>
        </w:rPr>
      </w:pPr>
      <w:r>
        <w:rPr>
          <w:rFonts w:ascii="Verdana" w:hAnsi="Verdana" w:cs="Calibri"/>
          <w:sz w:val="20"/>
          <w:szCs w:val="20"/>
        </w:rPr>
        <w:t>Este texto falla al</w:t>
      </w:r>
      <w:r w:rsidR="005A600B">
        <w:rPr>
          <w:rFonts w:ascii="Verdana" w:hAnsi="Verdana" w:cs="Calibri"/>
          <w:sz w:val="20"/>
          <w:szCs w:val="20"/>
        </w:rPr>
        <w:t xml:space="preserve"> no reconoce</w:t>
      </w:r>
      <w:r>
        <w:rPr>
          <w:rFonts w:ascii="Verdana" w:hAnsi="Verdana" w:cs="Calibri"/>
          <w:sz w:val="20"/>
          <w:szCs w:val="20"/>
        </w:rPr>
        <w:t>r</w:t>
      </w:r>
      <w:r w:rsidR="005A600B">
        <w:rPr>
          <w:rFonts w:ascii="Verdana" w:hAnsi="Verdana" w:cs="Calibri"/>
          <w:sz w:val="20"/>
          <w:szCs w:val="20"/>
        </w:rPr>
        <w:t xml:space="preserve"> el principio de publicidad de toda la actividad pública, es decir</w:t>
      </w:r>
      <w:r w:rsidR="004F292D">
        <w:rPr>
          <w:rFonts w:ascii="Verdana" w:hAnsi="Verdana" w:cs="Calibri"/>
          <w:sz w:val="20"/>
          <w:szCs w:val="20"/>
        </w:rPr>
        <w:t>,</w:t>
      </w:r>
      <w:r w:rsidR="005A600B">
        <w:rPr>
          <w:rFonts w:ascii="Verdana" w:hAnsi="Verdana" w:cs="Calibri"/>
          <w:sz w:val="20"/>
          <w:szCs w:val="20"/>
        </w:rPr>
        <w:t xml:space="preserve"> no establece un régimen general de transparencia</w:t>
      </w:r>
      <w:r w:rsidR="00913EFA">
        <w:rPr>
          <w:rFonts w:ascii="Verdana" w:hAnsi="Verdana" w:cs="Calibri"/>
          <w:sz w:val="20"/>
          <w:szCs w:val="20"/>
        </w:rPr>
        <w:t xml:space="preserve"> </w:t>
      </w:r>
      <w:r w:rsidR="000F19CD">
        <w:rPr>
          <w:rFonts w:ascii="Verdana" w:hAnsi="Verdana" w:cs="Calibri"/>
          <w:sz w:val="20"/>
          <w:szCs w:val="20"/>
        </w:rPr>
        <w:t>aplicable</w:t>
      </w:r>
      <w:r w:rsidR="00913EFA">
        <w:rPr>
          <w:rFonts w:ascii="Verdana" w:hAnsi="Verdana" w:cs="Calibri"/>
          <w:sz w:val="20"/>
          <w:szCs w:val="20"/>
        </w:rPr>
        <w:t xml:space="preserve"> a todas las entidades p</w:t>
      </w:r>
      <w:r w:rsidR="000F19CD">
        <w:rPr>
          <w:rFonts w:ascii="Verdana" w:hAnsi="Verdana" w:cs="Calibri"/>
          <w:sz w:val="20"/>
          <w:szCs w:val="20"/>
        </w:rPr>
        <w:t>úblicas</w:t>
      </w:r>
      <w:r w:rsidR="003F260B">
        <w:rPr>
          <w:rFonts w:ascii="Verdana" w:hAnsi="Verdana" w:cs="Calibri"/>
          <w:sz w:val="20"/>
          <w:szCs w:val="20"/>
        </w:rPr>
        <w:t xml:space="preserve">. El Proyecto de ley </w:t>
      </w:r>
      <w:r w:rsidR="005A600B">
        <w:rPr>
          <w:rFonts w:ascii="Verdana" w:hAnsi="Verdana" w:cs="Calibri"/>
          <w:sz w:val="20"/>
          <w:szCs w:val="20"/>
        </w:rPr>
        <w:t xml:space="preserve">establece algunas medidas </w:t>
      </w:r>
      <w:r w:rsidR="000F19CD">
        <w:rPr>
          <w:rFonts w:ascii="Verdana" w:hAnsi="Verdana" w:cs="Calibri"/>
          <w:sz w:val="20"/>
          <w:szCs w:val="20"/>
        </w:rPr>
        <w:t xml:space="preserve">como la obligación de publicar proactivamente información, </w:t>
      </w:r>
      <w:r w:rsidR="005A600B">
        <w:rPr>
          <w:rFonts w:ascii="Verdana" w:hAnsi="Verdana" w:cs="Calibri"/>
          <w:sz w:val="20"/>
          <w:szCs w:val="20"/>
        </w:rPr>
        <w:t>que</w:t>
      </w:r>
      <w:r w:rsidR="002D34DA">
        <w:rPr>
          <w:rFonts w:ascii="Verdana" w:hAnsi="Verdana" w:cs="Calibri"/>
          <w:sz w:val="20"/>
          <w:szCs w:val="20"/>
        </w:rPr>
        <w:t>,</w:t>
      </w:r>
      <w:r w:rsidR="005A600B">
        <w:rPr>
          <w:rFonts w:ascii="Verdana" w:hAnsi="Verdana" w:cs="Calibri"/>
          <w:sz w:val="20"/>
          <w:szCs w:val="20"/>
        </w:rPr>
        <w:t xml:space="preserve"> si bien son positivas y mejorarán la transparencia en España, no son suficientes</w:t>
      </w:r>
      <w:r>
        <w:rPr>
          <w:rFonts w:ascii="Verdana" w:hAnsi="Verdana" w:cs="Calibri"/>
          <w:sz w:val="20"/>
          <w:szCs w:val="20"/>
        </w:rPr>
        <w:t xml:space="preserve"> para asegurar que esté</w:t>
      </w:r>
      <w:r w:rsidR="003F260B">
        <w:rPr>
          <w:rFonts w:ascii="Verdana" w:hAnsi="Verdana" w:cs="Calibri"/>
          <w:sz w:val="20"/>
          <w:szCs w:val="20"/>
        </w:rPr>
        <w:t xml:space="preserve"> en línea con los estándares internacionales</w:t>
      </w:r>
      <w:r w:rsidR="005A600B">
        <w:rPr>
          <w:rFonts w:ascii="Verdana" w:hAnsi="Verdana" w:cs="Calibri"/>
          <w:sz w:val="20"/>
          <w:szCs w:val="20"/>
        </w:rPr>
        <w:t xml:space="preserve">. </w:t>
      </w:r>
    </w:p>
    <w:p w:rsidR="00BD677E" w:rsidRDefault="00BD677E" w:rsidP="002A1C82">
      <w:pPr>
        <w:rPr>
          <w:rFonts w:ascii="Verdana" w:hAnsi="Verdana" w:cs="Calibri"/>
          <w:sz w:val="20"/>
          <w:szCs w:val="20"/>
        </w:rPr>
      </w:pPr>
      <w:r>
        <w:rPr>
          <w:rFonts w:ascii="Verdana" w:hAnsi="Verdana" w:cs="Calibri"/>
          <w:sz w:val="20"/>
          <w:szCs w:val="20"/>
        </w:rPr>
        <w:t>Este Proyecto de L</w:t>
      </w:r>
      <w:r w:rsidR="00173DA9">
        <w:rPr>
          <w:rFonts w:ascii="Verdana" w:hAnsi="Verdana" w:cs="Calibri"/>
          <w:sz w:val="20"/>
          <w:szCs w:val="20"/>
        </w:rPr>
        <w:t>ey</w:t>
      </w:r>
      <w:r w:rsidR="004F292D">
        <w:rPr>
          <w:rFonts w:ascii="Verdana" w:hAnsi="Verdana" w:cs="Calibri"/>
          <w:sz w:val="20"/>
          <w:szCs w:val="20"/>
        </w:rPr>
        <w:t>,</w:t>
      </w:r>
      <w:r w:rsidR="00173DA9">
        <w:rPr>
          <w:rFonts w:ascii="Verdana" w:hAnsi="Verdana" w:cs="Calibri"/>
          <w:sz w:val="20"/>
          <w:szCs w:val="20"/>
        </w:rPr>
        <w:t xml:space="preserve"> además de no establecer las garantías suficientes</w:t>
      </w:r>
      <w:r w:rsidR="004F292D">
        <w:rPr>
          <w:rFonts w:ascii="Verdana" w:hAnsi="Verdana" w:cs="Calibri"/>
          <w:sz w:val="20"/>
          <w:szCs w:val="20"/>
        </w:rPr>
        <w:t>,</w:t>
      </w:r>
      <w:r w:rsidR="00173DA9">
        <w:rPr>
          <w:rFonts w:ascii="Verdana" w:hAnsi="Verdana" w:cs="Calibri"/>
          <w:sz w:val="20"/>
          <w:szCs w:val="20"/>
        </w:rPr>
        <w:t xml:space="preserve"> es un texto poco claro y confuso, </w:t>
      </w:r>
      <w:r w:rsidR="004F292D">
        <w:rPr>
          <w:rFonts w:ascii="Verdana" w:hAnsi="Verdana" w:cs="Calibri"/>
          <w:sz w:val="20"/>
          <w:szCs w:val="20"/>
        </w:rPr>
        <w:t xml:space="preserve">sobre el cual </w:t>
      </w:r>
      <w:r w:rsidR="00FA298E">
        <w:rPr>
          <w:rFonts w:ascii="Verdana" w:hAnsi="Verdana" w:cs="Calibri"/>
          <w:sz w:val="20"/>
          <w:szCs w:val="20"/>
        </w:rPr>
        <w:t xml:space="preserve">el propio Consejo de Estado </w:t>
      </w:r>
      <w:r w:rsidR="004F292D">
        <w:rPr>
          <w:rFonts w:ascii="Verdana" w:hAnsi="Verdana" w:cs="Calibri"/>
          <w:sz w:val="20"/>
          <w:szCs w:val="20"/>
        </w:rPr>
        <w:t xml:space="preserve">ya </w:t>
      </w:r>
      <w:r w:rsidR="00FA298E">
        <w:rPr>
          <w:rFonts w:ascii="Verdana" w:hAnsi="Verdana" w:cs="Calibri"/>
          <w:sz w:val="20"/>
          <w:szCs w:val="20"/>
        </w:rPr>
        <w:t xml:space="preserve">advertía que </w:t>
      </w:r>
      <w:r w:rsidR="00FA298E" w:rsidRPr="00FA298E">
        <w:rPr>
          <w:rFonts w:ascii="Verdana" w:hAnsi="Verdana" w:cs="Calibri"/>
          <w:sz w:val="20"/>
          <w:szCs w:val="20"/>
        </w:rPr>
        <w:t>“</w:t>
      </w:r>
      <w:r w:rsidR="00FA298E" w:rsidRPr="00FA298E">
        <w:rPr>
          <w:rFonts w:ascii="Verdana" w:hAnsi="Verdana" w:cs="Arial"/>
          <w:color w:val="000000"/>
          <w:sz w:val="20"/>
          <w:szCs w:val="20"/>
          <w:lang w:val="es-ES_tradnl" w:eastAsia="es-ES"/>
        </w:rPr>
        <w:t>la iniciativa legislativa en anteproyecto merece una sosegada reflexión de conjunto de modo que se alcance un nivel satisfactorio de rigor técnico. De una parte, para prevenir desajustes en su articulación, desarrollo y aplicación, de los que se podrían derivar contradicciones no deseadas.”</w:t>
      </w:r>
      <w:r>
        <w:rPr>
          <w:rFonts w:ascii="Verdana" w:hAnsi="Verdana" w:cs="Calibri"/>
          <w:sz w:val="20"/>
          <w:szCs w:val="20"/>
        </w:rPr>
        <w:t xml:space="preserve"> </w:t>
      </w:r>
    </w:p>
    <w:p w:rsidR="001D3438" w:rsidRPr="00FA298E" w:rsidRDefault="00047215" w:rsidP="002A1C82">
      <w:pPr>
        <w:rPr>
          <w:rFonts w:ascii="Verdana" w:hAnsi="Verdana" w:cs="Calibri"/>
          <w:sz w:val="20"/>
          <w:szCs w:val="20"/>
        </w:rPr>
      </w:pPr>
      <w:r>
        <w:rPr>
          <w:rFonts w:ascii="Verdana" w:hAnsi="Verdana" w:cs="Calibri"/>
          <w:sz w:val="20"/>
          <w:szCs w:val="20"/>
        </w:rPr>
        <w:t xml:space="preserve">Esta </w:t>
      </w:r>
      <w:r w:rsidR="00BD677E">
        <w:rPr>
          <w:rFonts w:ascii="Verdana" w:hAnsi="Verdana" w:cs="Calibri"/>
          <w:sz w:val="20"/>
          <w:szCs w:val="20"/>
        </w:rPr>
        <w:t>falta de claridad genera gran confusión, siendo difícil saber a qué información tenemos derecho. Encontramos en el texto varios artículos que se contradicen entre s</w:t>
      </w:r>
      <w:r w:rsidR="004F292D">
        <w:rPr>
          <w:rFonts w:ascii="Verdana" w:hAnsi="Verdana" w:cs="Calibri"/>
          <w:sz w:val="20"/>
          <w:szCs w:val="20"/>
        </w:rPr>
        <w:t>í</w:t>
      </w:r>
      <w:r w:rsidR="00BD677E">
        <w:rPr>
          <w:rFonts w:ascii="Verdana" w:hAnsi="Verdana" w:cs="Calibri"/>
          <w:sz w:val="20"/>
          <w:szCs w:val="20"/>
        </w:rPr>
        <w:t>, llegando a menoscabar severamente el derecho de acceso</w:t>
      </w:r>
      <w:r w:rsidR="004F292D">
        <w:rPr>
          <w:rFonts w:ascii="Verdana" w:hAnsi="Verdana" w:cs="Calibri"/>
          <w:sz w:val="20"/>
          <w:szCs w:val="20"/>
        </w:rPr>
        <w:t>. P</w:t>
      </w:r>
      <w:r w:rsidR="00BD677E">
        <w:rPr>
          <w:rFonts w:ascii="Verdana" w:hAnsi="Verdana" w:cs="Calibri"/>
          <w:sz w:val="20"/>
          <w:szCs w:val="20"/>
        </w:rPr>
        <w:t>or ejemplo</w:t>
      </w:r>
      <w:r w:rsidR="004F292D">
        <w:rPr>
          <w:rFonts w:ascii="Verdana" w:hAnsi="Verdana" w:cs="Calibri"/>
          <w:sz w:val="20"/>
          <w:szCs w:val="20"/>
        </w:rPr>
        <w:t>,</w:t>
      </w:r>
      <w:r w:rsidR="00BD677E">
        <w:rPr>
          <w:rFonts w:ascii="Verdana" w:hAnsi="Verdana" w:cs="Calibri"/>
          <w:sz w:val="20"/>
          <w:szCs w:val="20"/>
        </w:rPr>
        <w:t xml:space="preserve"> el artículo 2 enumera las instituciones obligadas por esta ley y más adelante varios artículos eximen a </w:t>
      </w:r>
      <w:r w:rsidR="000F19CD">
        <w:rPr>
          <w:rFonts w:ascii="Verdana" w:hAnsi="Verdana" w:cs="Calibri"/>
          <w:sz w:val="20"/>
          <w:szCs w:val="20"/>
        </w:rPr>
        <w:t>algunas</w:t>
      </w:r>
      <w:r w:rsidR="00BD677E">
        <w:rPr>
          <w:rFonts w:ascii="Verdana" w:hAnsi="Verdana" w:cs="Calibri"/>
          <w:sz w:val="20"/>
          <w:szCs w:val="20"/>
        </w:rPr>
        <w:t xml:space="preserve"> de estas instituciones de las obligaciones de transparencia establecidas.</w:t>
      </w:r>
    </w:p>
    <w:p w:rsidR="001D3438" w:rsidRDefault="005A600B" w:rsidP="002A1C82">
      <w:pPr>
        <w:rPr>
          <w:rFonts w:ascii="Verdana" w:hAnsi="Verdana" w:cs="Calibri"/>
          <w:sz w:val="20"/>
          <w:szCs w:val="20"/>
        </w:rPr>
      </w:pPr>
      <w:r>
        <w:rPr>
          <w:rFonts w:ascii="Verdana" w:hAnsi="Verdana" w:cs="Calibri"/>
          <w:sz w:val="20"/>
          <w:szCs w:val="20"/>
        </w:rPr>
        <w:t xml:space="preserve">Para que </w:t>
      </w:r>
      <w:r w:rsidR="005B58D1">
        <w:rPr>
          <w:rFonts w:ascii="Verdana" w:hAnsi="Verdana" w:cs="Calibri"/>
          <w:sz w:val="20"/>
          <w:szCs w:val="20"/>
        </w:rPr>
        <w:t xml:space="preserve">el </w:t>
      </w:r>
      <w:r>
        <w:rPr>
          <w:rFonts w:ascii="Verdana" w:hAnsi="Verdana" w:cs="Calibri"/>
          <w:sz w:val="20"/>
          <w:szCs w:val="20"/>
        </w:rPr>
        <w:t xml:space="preserve">texto pueda ser considerado </w:t>
      </w:r>
      <w:r w:rsidR="004F3D89">
        <w:rPr>
          <w:rFonts w:ascii="Verdana" w:hAnsi="Verdana" w:cs="Calibri"/>
          <w:sz w:val="20"/>
          <w:szCs w:val="20"/>
        </w:rPr>
        <w:t xml:space="preserve">como </w:t>
      </w:r>
      <w:r>
        <w:rPr>
          <w:rFonts w:ascii="Verdana" w:hAnsi="Verdana" w:cs="Calibri"/>
          <w:sz w:val="20"/>
          <w:szCs w:val="20"/>
        </w:rPr>
        <w:t>una</w:t>
      </w:r>
      <w:r w:rsidR="004F3D89">
        <w:rPr>
          <w:rFonts w:ascii="Verdana" w:hAnsi="Verdana" w:cs="Calibri"/>
          <w:sz w:val="20"/>
          <w:szCs w:val="20"/>
        </w:rPr>
        <w:t xml:space="preserve"> verdadera</w:t>
      </w:r>
      <w:r>
        <w:rPr>
          <w:rFonts w:ascii="Verdana" w:hAnsi="Verdana" w:cs="Calibri"/>
          <w:sz w:val="20"/>
          <w:szCs w:val="20"/>
        </w:rPr>
        <w:t xml:space="preserve"> ley de transparencia debería empezar por reconocer el principio de publicidad de toda la actividad pública</w:t>
      </w:r>
      <w:r w:rsidR="004F292D">
        <w:rPr>
          <w:rFonts w:ascii="Verdana" w:hAnsi="Verdana" w:cs="Calibri"/>
          <w:sz w:val="20"/>
          <w:szCs w:val="20"/>
        </w:rPr>
        <w:t>,</w:t>
      </w:r>
      <w:r>
        <w:rPr>
          <w:rFonts w:ascii="Verdana" w:hAnsi="Verdana" w:cs="Calibri"/>
          <w:sz w:val="20"/>
          <w:szCs w:val="20"/>
        </w:rPr>
        <w:t xml:space="preserve"> </w:t>
      </w:r>
      <w:r w:rsidR="004F3D89">
        <w:rPr>
          <w:rFonts w:ascii="Verdana" w:hAnsi="Verdana" w:cs="Calibri"/>
          <w:sz w:val="20"/>
          <w:szCs w:val="20"/>
        </w:rPr>
        <w:t xml:space="preserve">únicamente </w:t>
      </w:r>
      <w:r>
        <w:rPr>
          <w:rFonts w:ascii="Verdana" w:hAnsi="Verdana" w:cs="Calibri"/>
          <w:sz w:val="20"/>
          <w:szCs w:val="20"/>
        </w:rPr>
        <w:t>sujet</w:t>
      </w:r>
      <w:r w:rsidR="004F3D89">
        <w:rPr>
          <w:rFonts w:ascii="Verdana" w:hAnsi="Verdana" w:cs="Calibri"/>
          <w:sz w:val="20"/>
          <w:szCs w:val="20"/>
        </w:rPr>
        <w:t>o</w:t>
      </w:r>
      <w:r>
        <w:rPr>
          <w:rFonts w:ascii="Verdana" w:hAnsi="Verdana" w:cs="Calibri"/>
          <w:sz w:val="20"/>
          <w:szCs w:val="20"/>
        </w:rPr>
        <w:t xml:space="preserve"> a los límites establecidos por la propia ley, apoyado por un organismo independiente que asegure la correcta aplicación de los </w:t>
      </w:r>
      <w:r w:rsidR="004F3D89">
        <w:rPr>
          <w:rFonts w:ascii="Verdana" w:hAnsi="Verdana" w:cs="Calibri"/>
          <w:sz w:val="20"/>
          <w:szCs w:val="20"/>
        </w:rPr>
        <w:t>mismos</w:t>
      </w:r>
      <w:r>
        <w:rPr>
          <w:rFonts w:ascii="Verdana" w:hAnsi="Verdana" w:cs="Calibri"/>
          <w:sz w:val="20"/>
          <w:szCs w:val="20"/>
        </w:rPr>
        <w:t>.</w:t>
      </w:r>
      <w:r w:rsidR="00047215">
        <w:rPr>
          <w:rFonts w:ascii="Verdana" w:hAnsi="Verdana" w:cs="Calibri"/>
          <w:sz w:val="20"/>
          <w:szCs w:val="20"/>
        </w:rPr>
        <w:t xml:space="preserve"> </w:t>
      </w:r>
      <w:r w:rsidR="004F292D">
        <w:rPr>
          <w:rFonts w:ascii="Verdana" w:hAnsi="Verdana" w:cs="Calibri"/>
          <w:sz w:val="20"/>
          <w:szCs w:val="20"/>
        </w:rPr>
        <w:t>T</w:t>
      </w:r>
      <w:r w:rsidR="00047215">
        <w:rPr>
          <w:rFonts w:ascii="Verdana" w:hAnsi="Verdana" w:cs="Calibri"/>
          <w:sz w:val="20"/>
          <w:szCs w:val="20"/>
        </w:rPr>
        <w:t xml:space="preserve">ambién </w:t>
      </w:r>
      <w:r w:rsidR="004F292D">
        <w:rPr>
          <w:rFonts w:ascii="Verdana" w:hAnsi="Verdana" w:cs="Calibri"/>
          <w:sz w:val="20"/>
          <w:szCs w:val="20"/>
        </w:rPr>
        <w:t xml:space="preserve">debe </w:t>
      </w:r>
      <w:r w:rsidR="00AA1C9E">
        <w:rPr>
          <w:rFonts w:ascii="Verdana" w:hAnsi="Verdana" w:cs="Calibri"/>
          <w:sz w:val="20"/>
          <w:szCs w:val="20"/>
        </w:rPr>
        <w:t xml:space="preserve">garantizar </w:t>
      </w:r>
      <w:r w:rsidR="00047215">
        <w:rPr>
          <w:rFonts w:ascii="Verdana" w:hAnsi="Verdana" w:cs="Calibri"/>
          <w:sz w:val="20"/>
          <w:szCs w:val="20"/>
        </w:rPr>
        <w:t xml:space="preserve">que </w:t>
      </w:r>
      <w:r w:rsidR="00AA1C9E">
        <w:rPr>
          <w:rFonts w:ascii="Verdana" w:hAnsi="Verdana" w:cs="Calibri"/>
          <w:sz w:val="20"/>
          <w:szCs w:val="20"/>
        </w:rPr>
        <w:t>un solicitante pueda</w:t>
      </w:r>
      <w:r w:rsidR="00047215">
        <w:rPr>
          <w:rFonts w:ascii="Verdana" w:hAnsi="Verdana" w:cs="Calibri"/>
          <w:sz w:val="20"/>
          <w:szCs w:val="20"/>
        </w:rPr>
        <w:t xml:space="preserve"> solicitar toda la información en manos de todas las entidades públicas</w:t>
      </w:r>
      <w:r w:rsidR="004F292D">
        <w:rPr>
          <w:rFonts w:ascii="Verdana" w:hAnsi="Verdana" w:cs="Calibri"/>
          <w:sz w:val="20"/>
          <w:szCs w:val="20"/>
        </w:rPr>
        <w:t>;</w:t>
      </w:r>
      <w:r w:rsidR="00047215">
        <w:rPr>
          <w:rFonts w:ascii="Verdana" w:hAnsi="Verdana" w:cs="Calibri"/>
          <w:sz w:val="20"/>
          <w:szCs w:val="20"/>
        </w:rPr>
        <w:t xml:space="preserve"> </w:t>
      </w:r>
      <w:r w:rsidR="00AA1C9E">
        <w:rPr>
          <w:rFonts w:ascii="Verdana" w:hAnsi="Verdana" w:cs="Calibri"/>
          <w:sz w:val="20"/>
          <w:szCs w:val="20"/>
        </w:rPr>
        <w:t xml:space="preserve">que </w:t>
      </w:r>
      <w:r w:rsidR="000F19CD">
        <w:rPr>
          <w:rFonts w:ascii="Verdana" w:hAnsi="Verdana" w:cs="Calibri"/>
          <w:sz w:val="20"/>
          <w:szCs w:val="20"/>
        </w:rPr>
        <w:t xml:space="preserve">esta información </w:t>
      </w:r>
      <w:r w:rsidR="004F292D">
        <w:rPr>
          <w:rFonts w:ascii="Verdana" w:hAnsi="Verdana" w:cs="Calibri"/>
          <w:sz w:val="20"/>
          <w:szCs w:val="20"/>
        </w:rPr>
        <w:t xml:space="preserve">se entregue </w:t>
      </w:r>
      <w:r w:rsidR="000F19CD">
        <w:rPr>
          <w:rFonts w:ascii="Verdana" w:hAnsi="Verdana" w:cs="Calibri"/>
          <w:sz w:val="20"/>
          <w:szCs w:val="20"/>
        </w:rPr>
        <w:t xml:space="preserve">en </w:t>
      </w:r>
      <w:r w:rsidR="00047215">
        <w:rPr>
          <w:rFonts w:ascii="Verdana" w:hAnsi="Verdana" w:cs="Calibri"/>
          <w:sz w:val="20"/>
          <w:szCs w:val="20"/>
        </w:rPr>
        <w:t xml:space="preserve">un plazo </w:t>
      </w:r>
      <w:r w:rsidR="00AA1C9E">
        <w:rPr>
          <w:rFonts w:ascii="Verdana" w:hAnsi="Verdana" w:cs="Calibri"/>
          <w:sz w:val="20"/>
          <w:szCs w:val="20"/>
        </w:rPr>
        <w:t>breve</w:t>
      </w:r>
      <w:r w:rsidR="004F292D">
        <w:rPr>
          <w:rFonts w:ascii="Verdana" w:hAnsi="Verdana" w:cs="Calibri"/>
          <w:sz w:val="20"/>
          <w:szCs w:val="20"/>
        </w:rPr>
        <w:t xml:space="preserve"> y</w:t>
      </w:r>
      <w:r w:rsidR="00AA1C9E">
        <w:rPr>
          <w:rFonts w:ascii="Verdana" w:hAnsi="Verdana" w:cs="Calibri"/>
          <w:sz w:val="20"/>
          <w:szCs w:val="20"/>
        </w:rPr>
        <w:t xml:space="preserve"> </w:t>
      </w:r>
      <w:r w:rsidR="000F19CD">
        <w:rPr>
          <w:rFonts w:ascii="Verdana" w:hAnsi="Verdana" w:cs="Calibri"/>
          <w:sz w:val="20"/>
          <w:szCs w:val="20"/>
        </w:rPr>
        <w:t>que la denegación de</w:t>
      </w:r>
      <w:r w:rsidR="00AA1C9E">
        <w:rPr>
          <w:rFonts w:ascii="Verdana" w:hAnsi="Verdana" w:cs="Calibri"/>
          <w:sz w:val="20"/>
          <w:szCs w:val="20"/>
        </w:rPr>
        <w:t xml:space="preserve"> acceso a </w:t>
      </w:r>
      <w:r w:rsidR="000F19CD">
        <w:rPr>
          <w:rFonts w:ascii="Verdana" w:hAnsi="Verdana" w:cs="Calibri"/>
          <w:sz w:val="20"/>
          <w:szCs w:val="20"/>
        </w:rPr>
        <w:t xml:space="preserve">la </w:t>
      </w:r>
      <w:r w:rsidR="00AA1C9E">
        <w:rPr>
          <w:rFonts w:ascii="Verdana" w:hAnsi="Verdana" w:cs="Calibri"/>
          <w:sz w:val="20"/>
          <w:szCs w:val="20"/>
        </w:rPr>
        <w:t xml:space="preserve">información </w:t>
      </w:r>
      <w:r w:rsidR="000F19CD">
        <w:rPr>
          <w:rFonts w:ascii="Verdana" w:hAnsi="Verdana" w:cs="Calibri"/>
          <w:sz w:val="20"/>
          <w:szCs w:val="20"/>
        </w:rPr>
        <w:t xml:space="preserve">se </w:t>
      </w:r>
      <w:r w:rsidR="004F292D">
        <w:rPr>
          <w:rFonts w:ascii="Verdana" w:hAnsi="Verdana" w:cs="Calibri"/>
          <w:sz w:val="20"/>
          <w:szCs w:val="20"/>
        </w:rPr>
        <w:t xml:space="preserve">dé </w:t>
      </w:r>
      <w:r w:rsidR="000F19CD">
        <w:rPr>
          <w:rFonts w:ascii="Verdana" w:hAnsi="Verdana" w:cs="Calibri"/>
          <w:sz w:val="20"/>
          <w:szCs w:val="20"/>
        </w:rPr>
        <w:t>en casos limitados y sólo</w:t>
      </w:r>
      <w:r w:rsidR="00AA1C9E">
        <w:rPr>
          <w:rFonts w:ascii="Verdana" w:hAnsi="Verdana" w:cs="Calibri"/>
          <w:sz w:val="20"/>
          <w:szCs w:val="20"/>
        </w:rPr>
        <w:t xml:space="preserve"> cuando </w:t>
      </w:r>
      <w:r w:rsidR="000F19CD">
        <w:rPr>
          <w:rFonts w:ascii="Verdana" w:hAnsi="Verdana" w:cs="Calibri"/>
          <w:sz w:val="20"/>
          <w:szCs w:val="20"/>
        </w:rPr>
        <w:t>la información solicitada afecte a algunas</w:t>
      </w:r>
      <w:r w:rsidR="00AA1C9E">
        <w:rPr>
          <w:rFonts w:ascii="Verdana" w:hAnsi="Verdana" w:cs="Calibri"/>
          <w:sz w:val="20"/>
          <w:szCs w:val="20"/>
        </w:rPr>
        <w:t xml:space="preserve"> de las excepciones </w:t>
      </w:r>
      <w:r w:rsidR="000F19CD">
        <w:rPr>
          <w:rFonts w:ascii="Verdana" w:hAnsi="Verdana" w:cs="Calibri"/>
          <w:sz w:val="20"/>
          <w:szCs w:val="20"/>
        </w:rPr>
        <w:t>establecidas</w:t>
      </w:r>
      <w:r w:rsidR="00AA1C9E">
        <w:rPr>
          <w:rFonts w:ascii="Verdana" w:hAnsi="Verdana" w:cs="Calibri"/>
          <w:sz w:val="20"/>
          <w:szCs w:val="20"/>
        </w:rPr>
        <w:t xml:space="preserve"> por los estándares internacional</w:t>
      </w:r>
      <w:r w:rsidR="00C8745B">
        <w:rPr>
          <w:rFonts w:ascii="Verdana" w:hAnsi="Verdana" w:cs="Calibri"/>
          <w:sz w:val="20"/>
          <w:szCs w:val="20"/>
        </w:rPr>
        <w:t>e</w:t>
      </w:r>
      <w:r w:rsidR="00AA1C9E">
        <w:rPr>
          <w:rFonts w:ascii="Verdana" w:hAnsi="Verdana" w:cs="Calibri"/>
          <w:sz w:val="20"/>
          <w:szCs w:val="20"/>
        </w:rPr>
        <w:t xml:space="preserve">s. </w:t>
      </w:r>
    </w:p>
    <w:p w:rsidR="001D3438" w:rsidRDefault="00FA298E" w:rsidP="002A1C82">
      <w:pPr>
        <w:rPr>
          <w:rFonts w:ascii="Verdana" w:hAnsi="Verdana" w:cs="Calibri"/>
          <w:sz w:val="20"/>
          <w:szCs w:val="20"/>
        </w:rPr>
      </w:pPr>
      <w:r>
        <w:rPr>
          <w:rFonts w:ascii="Verdana" w:hAnsi="Verdana" w:cs="Calibri"/>
          <w:sz w:val="20"/>
          <w:szCs w:val="20"/>
        </w:rPr>
        <w:lastRenderedPageBreak/>
        <w:t xml:space="preserve">A continuación enumeramos los problemas </w:t>
      </w:r>
      <w:r w:rsidR="000573CD">
        <w:rPr>
          <w:rFonts w:ascii="Verdana" w:hAnsi="Verdana" w:cs="Calibri"/>
          <w:sz w:val="20"/>
          <w:szCs w:val="20"/>
        </w:rPr>
        <w:t xml:space="preserve">principales </w:t>
      </w:r>
      <w:r>
        <w:rPr>
          <w:rFonts w:ascii="Verdana" w:hAnsi="Verdana" w:cs="Calibri"/>
          <w:sz w:val="20"/>
          <w:szCs w:val="20"/>
        </w:rPr>
        <w:t>que hemos encontrado en este proyecto de Ley y pasamos a exponer nuestras recomendaciones de cambios</w:t>
      </w:r>
      <w:r w:rsidR="004F292D">
        <w:rPr>
          <w:rFonts w:ascii="Verdana" w:hAnsi="Verdana" w:cs="Calibri"/>
          <w:sz w:val="20"/>
          <w:szCs w:val="20"/>
        </w:rPr>
        <w:t xml:space="preserve">, </w:t>
      </w:r>
      <w:r>
        <w:rPr>
          <w:rFonts w:ascii="Verdana" w:hAnsi="Verdana" w:cs="Calibri"/>
          <w:sz w:val="20"/>
          <w:szCs w:val="20"/>
        </w:rPr>
        <w:t>de cara al debate parlamentario.</w:t>
      </w:r>
    </w:p>
    <w:p w:rsidR="00173DA9" w:rsidRDefault="005A600B" w:rsidP="002A1C82">
      <w:pPr>
        <w:rPr>
          <w:rFonts w:ascii="Verdana" w:hAnsi="Verdana" w:cs="Calibri"/>
          <w:sz w:val="20"/>
          <w:szCs w:val="20"/>
        </w:rPr>
      </w:pPr>
      <w:r>
        <w:rPr>
          <w:rFonts w:ascii="Verdana" w:hAnsi="Verdana" w:cs="Calibri"/>
          <w:b/>
          <w:sz w:val="20"/>
          <w:szCs w:val="20"/>
          <w:u w:val="single"/>
        </w:rPr>
        <w:t>El no reconocimiento del derecho</w:t>
      </w:r>
      <w:r w:rsidR="004F3D89">
        <w:rPr>
          <w:rFonts w:ascii="Verdana" w:hAnsi="Verdana" w:cs="Calibri"/>
          <w:b/>
          <w:sz w:val="20"/>
          <w:szCs w:val="20"/>
          <w:u w:val="single"/>
        </w:rPr>
        <w:t xml:space="preserve"> de acceso a la información</w:t>
      </w:r>
      <w:r>
        <w:rPr>
          <w:rFonts w:ascii="Verdana" w:hAnsi="Verdana" w:cs="Calibri"/>
          <w:b/>
          <w:sz w:val="20"/>
          <w:szCs w:val="20"/>
          <w:u w:val="single"/>
        </w:rPr>
        <w:t xml:space="preserve"> como un derecho fundamental:</w:t>
      </w:r>
      <w:r>
        <w:rPr>
          <w:rFonts w:ascii="Verdana" w:hAnsi="Verdana" w:cs="Calibri"/>
          <w:sz w:val="20"/>
          <w:szCs w:val="20"/>
        </w:rPr>
        <w:t xml:space="preserve"> El derecho de acceso a la información ha sido  reconocido como un derecho fundamental</w:t>
      </w:r>
      <w:r w:rsidR="004F292D">
        <w:rPr>
          <w:rFonts w:ascii="Verdana" w:hAnsi="Verdana" w:cs="Calibri"/>
          <w:sz w:val="20"/>
          <w:szCs w:val="20"/>
        </w:rPr>
        <w:t xml:space="preserve">, </w:t>
      </w:r>
      <w:r>
        <w:rPr>
          <w:rFonts w:ascii="Verdana" w:hAnsi="Verdana" w:cs="Calibri"/>
          <w:sz w:val="20"/>
          <w:szCs w:val="20"/>
        </w:rPr>
        <w:t>entre otros</w:t>
      </w:r>
      <w:r w:rsidR="004F292D">
        <w:rPr>
          <w:rFonts w:ascii="Verdana" w:hAnsi="Verdana" w:cs="Calibri"/>
          <w:sz w:val="20"/>
          <w:szCs w:val="20"/>
        </w:rPr>
        <w:t>,</w:t>
      </w:r>
      <w:r>
        <w:rPr>
          <w:rFonts w:ascii="Verdana" w:hAnsi="Verdana" w:cs="Calibri"/>
          <w:sz w:val="20"/>
          <w:szCs w:val="20"/>
        </w:rPr>
        <w:t xml:space="preserve"> por el Tribunal Europeo de Derechos Humanos en sus sentencias </w:t>
      </w:r>
      <w:proofErr w:type="spellStart"/>
      <w:r>
        <w:rPr>
          <w:rFonts w:ascii="Verdana" w:hAnsi="Verdana" w:cs="Calibri"/>
          <w:i/>
          <w:sz w:val="20"/>
          <w:szCs w:val="20"/>
        </w:rPr>
        <w:t>Társaság</w:t>
      </w:r>
      <w:proofErr w:type="spellEnd"/>
      <w:r>
        <w:rPr>
          <w:rFonts w:ascii="Verdana" w:hAnsi="Verdana" w:cs="Calibri"/>
          <w:i/>
          <w:sz w:val="20"/>
          <w:szCs w:val="20"/>
        </w:rPr>
        <w:t xml:space="preserve"> a </w:t>
      </w:r>
      <w:proofErr w:type="spellStart"/>
      <w:r>
        <w:rPr>
          <w:rFonts w:ascii="Verdana" w:hAnsi="Verdana" w:cs="Calibri"/>
          <w:i/>
          <w:sz w:val="20"/>
          <w:szCs w:val="20"/>
        </w:rPr>
        <w:t>Szabadságjogokért</w:t>
      </w:r>
      <w:proofErr w:type="spellEnd"/>
      <w:r>
        <w:rPr>
          <w:rFonts w:ascii="Verdana" w:hAnsi="Verdana" w:cs="Calibri"/>
          <w:i/>
          <w:sz w:val="20"/>
          <w:szCs w:val="20"/>
        </w:rPr>
        <w:t xml:space="preserve">  vs </w:t>
      </w:r>
      <w:proofErr w:type="spellStart"/>
      <w:r>
        <w:rPr>
          <w:rFonts w:ascii="Verdana" w:hAnsi="Verdana" w:cs="Calibri"/>
          <w:i/>
          <w:sz w:val="20"/>
          <w:szCs w:val="20"/>
        </w:rPr>
        <w:t>Hungary</w:t>
      </w:r>
      <w:proofErr w:type="spellEnd"/>
      <w:r>
        <w:rPr>
          <w:rFonts w:ascii="Verdana" w:hAnsi="Verdana" w:cs="Calibri"/>
          <w:sz w:val="20"/>
          <w:szCs w:val="20"/>
        </w:rPr>
        <w:t xml:space="preserve"> </w:t>
      </w:r>
      <w:r>
        <w:rPr>
          <w:rStyle w:val="Refdenotaalpie"/>
          <w:rFonts w:ascii="Verdana" w:hAnsi="Verdana" w:cs="Calibri"/>
          <w:sz w:val="20"/>
          <w:szCs w:val="20"/>
        </w:rPr>
        <w:footnoteReference w:id="1"/>
      </w:r>
      <w:r>
        <w:rPr>
          <w:rFonts w:ascii="Verdana" w:hAnsi="Verdana" w:cs="Calibri"/>
          <w:sz w:val="20"/>
          <w:szCs w:val="20"/>
        </w:rPr>
        <w:t xml:space="preserve"> y </w:t>
      </w:r>
      <w:proofErr w:type="spellStart"/>
      <w:r>
        <w:rPr>
          <w:rStyle w:val="nfasis"/>
          <w:rFonts w:ascii="Verdana" w:hAnsi="Verdana" w:cs="Calibri"/>
          <w:sz w:val="20"/>
          <w:szCs w:val="20"/>
        </w:rPr>
        <w:t>Kenedi</w:t>
      </w:r>
      <w:proofErr w:type="spellEnd"/>
      <w:r>
        <w:rPr>
          <w:rStyle w:val="nfasis"/>
          <w:rFonts w:ascii="Verdana" w:hAnsi="Verdana" w:cs="Calibri"/>
          <w:sz w:val="20"/>
          <w:szCs w:val="20"/>
        </w:rPr>
        <w:t xml:space="preserve"> vs </w:t>
      </w:r>
      <w:proofErr w:type="spellStart"/>
      <w:r>
        <w:rPr>
          <w:rStyle w:val="nfasis"/>
          <w:rFonts w:ascii="Verdana" w:hAnsi="Verdana" w:cs="Calibri"/>
          <w:sz w:val="20"/>
          <w:szCs w:val="20"/>
        </w:rPr>
        <w:t>Hungary</w:t>
      </w:r>
      <w:proofErr w:type="spellEnd"/>
      <w:r>
        <w:rPr>
          <w:rStyle w:val="Refdenotaalpie"/>
          <w:rFonts w:ascii="Verdana" w:hAnsi="Verdana" w:cs="Calibri"/>
          <w:i/>
          <w:iCs/>
          <w:sz w:val="20"/>
          <w:szCs w:val="20"/>
        </w:rPr>
        <w:footnoteReference w:id="2"/>
      </w:r>
      <w:r w:rsidR="004F292D">
        <w:rPr>
          <w:rFonts w:ascii="Verdana" w:hAnsi="Verdana" w:cs="Calibri"/>
          <w:sz w:val="20"/>
          <w:szCs w:val="20"/>
        </w:rPr>
        <w:t>;</w:t>
      </w:r>
      <w:r>
        <w:rPr>
          <w:rFonts w:ascii="Verdana" w:hAnsi="Verdana" w:cs="Calibri"/>
          <w:sz w:val="20"/>
          <w:szCs w:val="20"/>
        </w:rPr>
        <w:t xml:space="preserve"> por La Corte Interamericana de derechos humanos en la sentencia del </w:t>
      </w:r>
      <w:r w:rsidRPr="000573CD">
        <w:rPr>
          <w:rFonts w:ascii="Verdana" w:hAnsi="Verdana" w:cs="Calibri"/>
          <w:i/>
          <w:sz w:val="20"/>
          <w:szCs w:val="20"/>
        </w:rPr>
        <w:t>Caso Claude Reyes vs Chile</w:t>
      </w:r>
      <w:r>
        <w:rPr>
          <w:rStyle w:val="Refdenotaalpie"/>
          <w:rFonts w:ascii="Verdana" w:hAnsi="Verdana" w:cs="Calibri"/>
          <w:sz w:val="20"/>
          <w:szCs w:val="20"/>
        </w:rPr>
        <w:footnoteReference w:id="3"/>
      </w:r>
      <w:r>
        <w:rPr>
          <w:rFonts w:ascii="Verdana" w:hAnsi="Verdana" w:cs="Calibri"/>
          <w:sz w:val="20"/>
          <w:szCs w:val="20"/>
        </w:rPr>
        <w:t xml:space="preserve"> y por el Comité de Derechos Humanos</w:t>
      </w:r>
      <w:r>
        <w:rPr>
          <w:rStyle w:val="Refdenotaalpie"/>
          <w:rFonts w:ascii="Verdana" w:hAnsi="Verdana" w:cs="Calibri"/>
          <w:sz w:val="20"/>
          <w:szCs w:val="20"/>
        </w:rPr>
        <w:footnoteReference w:id="4"/>
      </w:r>
      <w:r>
        <w:rPr>
          <w:rFonts w:ascii="Verdana" w:hAnsi="Verdana" w:cs="Calibri"/>
          <w:sz w:val="20"/>
          <w:szCs w:val="20"/>
        </w:rPr>
        <w:t xml:space="preserve"> de las Naciones </w:t>
      </w:r>
      <w:r w:rsidR="009C301C">
        <w:rPr>
          <w:rFonts w:ascii="Verdana" w:hAnsi="Verdana" w:cs="Calibri"/>
          <w:sz w:val="20"/>
          <w:szCs w:val="20"/>
        </w:rPr>
        <w:t>U</w:t>
      </w:r>
      <w:r>
        <w:rPr>
          <w:rFonts w:ascii="Verdana" w:hAnsi="Verdana" w:cs="Calibri"/>
          <w:sz w:val="20"/>
          <w:szCs w:val="20"/>
        </w:rPr>
        <w:t xml:space="preserve">nidas. </w:t>
      </w:r>
    </w:p>
    <w:p w:rsidR="00173DA9" w:rsidRPr="00FA298E" w:rsidRDefault="00173DA9" w:rsidP="002A1C82">
      <w:pPr>
        <w:rPr>
          <w:rFonts w:ascii="Verdana" w:hAnsi="Verdana" w:cs="Calibri"/>
          <w:sz w:val="20"/>
          <w:szCs w:val="20"/>
        </w:rPr>
      </w:pPr>
      <w:r>
        <w:rPr>
          <w:rFonts w:ascii="Verdana" w:hAnsi="Verdana" w:cs="Calibri"/>
          <w:sz w:val="20"/>
          <w:szCs w:val="20"/>
        </w:rPr>
        <w:t>La definición de información que establece este Proyecto de Ley vincula este derecho al artículo 105</w:t>
      </w:r>
      <w:r w:rsidR="009C301C">
        <w:rPr>
          <w:rFonts w:ascii="Verdana" w:hAnsi="Verdana" w:cs="Calibri"/>
          <w:sz w:val="20"/>
          <w:szCs w:val="20"/>
        </w:rPr>
        <w:t>b</w:t>
      </w:r>
      <w:r>
        <w:rPr>
          <w:rFonts w:ascii="Verdana" w:hAnsi="Verdana" w:cs="Calibri"/>
          <w:sz w:val="20"/>
          <w:szCs w:val="20"/>
        </w:rPr>
        <w:t xml:space="preserve"> de la Constitución Española, sobre acceso a archivos y registros, lo cual es un error ya que internacionalmente este derecho se considera parte inherente a la libertad de expresión, regulado en el artículo 20 de la Constitución Española. Además</w:t>
      </w:r>
      <w:r w:rsidR="004F292D">
        <w:rPr>
          <w:rFonts w:ascii="Verdana" w:hAnsi="Verdana" w:cs="Calibri"/>
          <w:sz w:val="20"/>
          <w:szCs w:val="20"/>
        </w:rPr>
        <w:t>,</w:t>
      </w:r>
      <w:r>
        <w:rPr>
          <w:rFonts w:ascii="Verdana" w:hAnsi="Verdana" w:cs="Calibri"/>
          <w:sz w:val="20"/>
          <w:szCs w:val="20"/>
        </w:rPr>
        <w:t xml:space="preserve"> esta conexión es inconsistente</w:t>
      </w:r>
      <w:r w:rsidR="004F292D">
        <w:rPr>
          <w:rFonts w:ascii="Verdana" w:hAnsi="Verdana" w:cs="Calibri"/>
          <w:sz w:val="20"/>
          <w:szCs w:val="20"/>
        </w:rPr>
        <w:t>,</w:t>
      </w:r>
      <w:r>
        <w:rPr>
          <w:rFonts w:ascii="Verdana" w:hAnsi="Verdana" w:cs="Calibri"/>
          <w:sz w:val="20"/>
          <w:szCs w:val="20"/>
        </w:rPr>
        <w:t xml:space="preserve"> ya que el desarrollo del artículo 105.b se reconoce en las normas que regulan el acceso a archivos y registros, cuya última regulación se aprobó justamente en noviembre de 2011 con el Real Decreto que regulaba el acceso a los archivos y registros de la Administración General del Estado, úl</w:t>
      </w:r>
      <w:r w:rsidR="00FA298E">
        <w:rPr>
          <w:rFonts w:ascii="Verdana" w:hAnsi="Verdana" w:cs="Calibri"/>
          <w:sz w:val="20"/>
          <w:szCs w:val="20"/>
        </w:rPr>
        <w:t xml:space="preserve">tima en regular dicha materia. </w:t>
      </w:r>
    </w:p>
    <w:p w:rsidR="001D3438" w:rsidRDefault="005A600B" w:rsidP="002A1C82">
      <w:pPr>
        <w:pStyle w:val="Prrafodelista"/>
        <w:numPr>
          <w:ilvl w:val="0"/>
          <w:numId w:val="1"/>
        </w:numPr>
        <w:rPr>
          <w:rFonts w:ascii="Verdana" w:hAnsi="Verdana"/>
          <w:i/>
          <w:color w:val="C00000"/>
          <w:sz w:val="20"/>
          <w:szCs w:val="20"/>
        </w:rPr>
      </w:pPr>
      <w:r>
        <w:rPr>
          <w:rFonts w:ascii="Verdana" w:hAnsi="Verdana"/>
          <w:i/>
          <w:color w:val="C00000"/>
          <w:sz w:val="20"/>
          <w:szCs w:val="20"/>
        </w:rPr>
        <w:t xml:space="preserve">Recomendación 1: El parlamento debería tramitar esta ley como una ley orgánica y reconocer el derecho de acceso a la información como un derecho fundamental </w:t>
      </w:r>
      <w:r w:rsidR="00173DA9">
        <w:rPr>
          <w:rFonts w:ascii="Verdana" w:hAnsi="Verdana"/>
          <w:i/>
          <w:color w:val="C00000"/>
          <w:sz w:val="20"/>
          <w:szCs w:val="20"/>
        </w:rPr>
        <w:t xml:space="preserve">parte inherente a la libertad de expresión. </w:t>
      </w:r>
    </w:p>
    <w:p w:rsidR="00341AB9" w:rsidRDefault="005A600B" w:rsidP="002A1C82">
      <w:pPr>
        <w:rPr>
          <w:rFonts w:ascii="Verdana" w:hAnsi="Verdana" w:cs="Calibri"/>
          <w:sz w:val="20"/>
          <w:szCs w:val="20"/>
        </w:rPr>
      </w:pPr>
      <w:r>
        <w:rPr>
          <w:rFonts w:ascii="Verdana" w:hAnsi="Verdana" w:cs="Calibri"/>
          <w:b/>
          <w:sz w:val="20"/>
          <w:szCs w:val="20"/>
          <w:u w:val="single"/>
        </w:rPr>
        <w:t>Alcance insuficiente:</w:t>
      </w:r>
      <w:r>
        <w:rPr>
          <w:rFonts w:ascii="Verdana" w:hAnsi="Verdana" w:cs="Calibri"/>
          <w:sz w:val="20"/>
          <w:szCs w:val="20"/>
        </w:rPr>
        <w:t xml:space="preserve"> </w:t>
      </w:r>
      <w:r w:rsidR="00173DA9">
        <w:rPr>
          <w:rFonts w:ascii="Verdana" w:hAnsi="Verdana" w:cs="Calibri"/>
          <w:sz w:val="20"/>
          <w:szCs w:val="20"/>
        </w:rPr>
        <w:t xml:space="preserve">Los estándares internacionales establecen que el derecho de acceso a la información debe ser aplicable a todas las instituciones públicas, en concreto </w:t>
      </w:r>
      <w:r w:rsidR="008062E7">
        <w:rPr>
          <w:rFonts w:ascii="Verdana" w:hAnsi="Verdana" w:cs="Calibri"/>
          <w:sz w:val="20"/>
          <w:szCs w:val="20"/>
        </w:rPr>
        <w:t xml:space="preserve">el Comité de Derechos Humanos de </w:t>
      </w:r>
      <w:r w:rsidR="00173DA9">
        <w:rPr>
          <w:rFonts w:ascii="Verdana" w:hAnsi="Verdana" w:cs="Calibri"/>
          <w:sz w:val="20"/>
          <w:szCs w:val="20"/>
        </w:rPr>
        <w:t xml:space="preserve">la ONU </w:t>
      </w:r>
      <w:r w:rsidR="000F19CD">
        <w:rPr>
          <w:rFonts w:ascii="Verdana" w:hAnsi="Verdana" w:cs="Calibri"/>
          <w:sz w:val="20"/>
          <w:szCs w:val="20"/>
        </w:rPr>
        <w:t>establece</w:t>
      </w:r>
      <w:r w:rsidR="008062E7">
        <w:rPr>
          <w:rFonts w:ascii="Verdana" w:hAnsi="Verdana" w:cs="Calibri"/>
          <w:sz w:val="20"/>
          <w:szCs w:val="20"/>
        </w:rPr>
        <w:t xml:space="preserve"> claramente que el derecho de acceso a la información </w:t>
      </w:r>
      <w:r w:rsidR="000F19CD">
        <w:rPr>
          <w:rFonts w:ascii="Verdana" w:hAnsi="Verdana" w:cs="Calibri"/>
          <w:sz w:val="20"/>
          <w:szCs w:val="20"/>
        </w:rPr>
        <w:t xml:space="preserve">es ejercible sobre </w:t>
      </w:r>
      <w:r w:rsidR="008062E7">
        <w:rPr>
          <w:rFonts w:ascii="Verdana" w:hAnsi="Verdana" w:cs="Calibri"/>
          <w:sz w:val="20"/>
          <w:szCs w:val="20"/>
        </w:rPr>
        <w:t>toda la información en manos de toda entidad pública</w:t>
      </w:r>
      <w:r w:rsidR="002A57E9">
        <w:rPr>
          <w:rStyle w:val="Refdenotaalpie"/>
          <w:rFonts w:ascii="Verdana" w:hAnsi="Verdana" w:cs="Calibri"/>
          <w:sz w:val="20"/>
          <w:szCs w:val="20"/>
        </w:rPr>
        <w:footnoteReference w:id="5"/>
      </w:r>
      <w:r w:rsidR="00173DA9">
        <w:rPr>
          <w:rFonts w:ascii="Verdana" w:hAnsi="Verdana" w:cs="Calibri"/>
          <w:sz w:val="20"/>
          <w:szCs w:val="20"/>
        </w:rPr>
        <w:t xml:space="preserve">. </w:t>
      </w:r>
    </w:p>
    <w:p w:rsidR="00E1491C" w:rsidRPr="000F19CD" w:rsidRDefault="00A02103" w:rsidP="005F5BCD">
      <w:pPr>
        <w:pStyle w:val="SingleTxtG"/>
        <w:rPr>
          <w:rFonts w:ascii="Verdana" w:hAnsi="Verdana"/>
          <w:i/>
        </w:rPr>
      </w:pPr>
      <w:r w:rsidRPr="000F19CD">
        <w:rPr>
          <w:rFonts w:ascii="Verdana" w:hAnsi="Verdana"/>
          <w:i/>
        </w:rPr>
        <w:t>1</w:t>
      </w:r>
      <w:r w:rsidR="00E1491C" w:rsidRPr="000F19CD">
        <w:rPr>
          <w:rFonts w:ascii="Verdana" w:hAnsi="Verdana"/>
          <w:i/>
        </w:rPr>
        <w:t>8</w:t>
      </w:r>
      <w:r w:rsidRPr="000F19CD">
        <w:rPr>
          <w:rFonts w:ascii="Verdana" w:hAnsi="Verdana"/>
          <w:i/>
        </w:rPr>
        <w:t>.</w:t>
      </w:r>
      <w:r w:rsidR="00E1491C" w:rsidRPr="000F19CD">
        <w:rPr>
          <w:rFonts w:ascii="Verdana" w:hAnsi="Verdana"/>
          <w:i/>
        </w:rPr>
        <w:t xml:space="preserve"> </w:t>
      </w:r>
      <w:r w:rsidRPr="000F19CD">
        <w:rPr>
          <w:rFonts w:ascii="Verdana" w:hAnsi="Verdana"/>
          <w:i/>
        </w:rPr>
        <w:t>Para dar efecto al derecho de acceso a la información, los Estados partes deberían proceder activamente a la incorp</w:t>
      </w:r>
      <w:r w:rsidRPr="000F19CD">
        <w:rPr>
          <w:rFonts w:ascii="Verdana" w:hAnsi="Verdana"/>
          <w:i/>
        </w:rPr>
        <w:t>o</w:t>
      </w:r>
      <w:r w:rsidRPr="000F19CD">
        <w:rPr>
          <w:rFonts w:ascii="Verdana" w:hAnsi="Verdana"/>
          <w:i/>
        </w:rPr>
        <w:t xml:space="preserve">ración al dominio público de la información del gobierno que sea de interés público. </w:t>
      </w:r>
    </w:p>
    <w:p w:rsidR="00E1491C" w:rsidRDefault="00E1491C" w:rsidP="00E1491C">
      <w:pPr>
        <w:pStyle w:val="SingleTxtG"/>
        <w:tabs>
          <w:tab w:val="left" w:pos="6237"/>
        </w:tabs>
        <w:ind w:left="0"/>
        <w:rPr>
          <w:rFonts w:ascii="Verdana" w:hAnsi="Verdana"/>
        </w:rPr>
      </w:pPr>
      <w:r>
        <w:rPr>
          <w:rFonts w:ascii="Verdana" w:hAnsi="Verdana"/>
        </w:rPr>
        <w:t>El Comité define “el gobierno” como “</w:t>
      </w:r>
      <w:r w:rsidRPr="00E1491C">
        <w:rPr>
          <w:rFonts w:ascii="Verdana" w:hAnsi="Verdana"/>
        </w:rPr>
        <w:t>Todos los poderes del Estado (ej</w:t>
      </w:r>
      <w:r w:rsidRPr="00E1491C">
        <w:rPr>
          <w:rFonts w:ascii="Verdana" w:hAnsi="Verdana"/>
        </w:rPr>
        <w:t>e</w:t>
      </w:r>
      <w:r w:rsidRPr="00E1491C">
        <w:rPr>
          <w:rFonts w:ascii="Verdana" w:hAnsi="Verdana"/>
        </w:rPr>
        <w:t>cutivo, legislativo y judicial) y otras autoridades públicas o de gobierno, cualquiera que sea su nivel (nacional, regional o local)</w:t>
      </w:r>
      <w:r>
        <w:t>”</w:t>
      </w:r>
      <w:r w:rsidR="004F292D">
        <w:t>.</w:t>
      </w:r>
    </w:p>
    <w:p w:rsidR="00BD677E" w:rsidRDefault="004F292D" w:rsidP="002A1C82">
      <w:pPr>
        <w:rPr>
          <w:rFonts w:ascii="Verdana" w:hAnsi="Verdana" w:cs="Calibri"/>
          <w:sz w:val="20"/>
          <w:szCs w:val="20"/>
        </w:rPr>
      </w:pPr>
      <w:r>
        <w:rPr>
          <w:rFonts w:ascii="Verdana" w:hAnsi="Verdana" w:cs="Calibri"/>
          <w:sz w:val="20"/>
          <w:szCs w:val="20"/>
        </w:rPr>
        <w:lastRenderedPageBreak/>
        <w:t>Sin embargo, e</w:t>
      </w:r>
      <w:r w:rsidR="00173DA9">
        <w:rPr>
          <w:rFonts w:ascii="Verdana" w:hAnsi="Verdana" w:cs="Calibri"/>
          <w:sz w:val="20"/>
          <w:szCs w:val="20"/>
        </w:rPr>
        <w:t xml:space="preserve">ste Proyecto de Ley </w:t>
      </w:r>
      <w:r w:rsidR="0052394C">
        <w:rPr>
          <w:rFonts w:ascii="Verdana" w:hAnsi="Verdana" w:cs="Calibri"/>
          <w:sz w:val="20"/>
          <w:szCs w:val="20"/>
        </w:rPr>
        <w:t>s</w:t>
      </w:r>
      <w:r>
        <w:rPr>
          <w:rFonts w:ascii="Verdana" w:hAnsi="Verdana" w:cs="Calibri"/>
          <w:sz w:val="20"/>
          <w:szCs w:val="20"/>
        </w:rPr>
        <w:t>ó</w:t>
      </w:r>
      <w:r w:rsidR="0052394C">
        <w:rPr>
          <w:rFonts w:ascii="Verdana" w:hAnsi="Verdana" w:cs="Calibri"/>
          <w:sz w:val="20"/>
          <w:szCs w:val="20"/>
        </w:rPr>
        <w:t>lo incluye la información s</w:t>
      </w:r>
      <w:r w:rsidR="00BD677E">
        <w:rPr>
          <w:rFonts w:ascii="Verdana" w:hAnsi="Verdana" w:cs="Calibri"/>
          <w:sz w:val="20"/>
          <w:szCs w:val="20"/>
        </w:rPr>
        <w:t>ujeta a derecho administrativo.</w:t>
      </w:r>
    </w:p>
    <w:p w:rsidR="001D3438" w:rsidRDefault="00AC0734" w:rsidP="002A1C82">
      <w:pPr>
        <w:rPr>
          <w:rFonts w:ascii="Verdana" w:hAnsi="Verdana" w:cs="Calibri"/>
          <w:sz w:val="20"/>
          <w:szCs w:val="20"/>
        </w:rPr>
      </w:pPr>
      <w:r>
        <w:rPr>
          <w:rFonts w:ascii="Verdana" w:hAnsi="Verdana" w:cs="Calibri"/>
          <w:sz w:val="20"/>
          <w:szCs w:val="20"/>
        </w:rPr>
        <w:t xml:space="preserve">El artículo 2.1 enumera todos las instituciones que se </w:t>
      </w:r>
      <w:r w:rsidR="0052394C">
        <w:rPr>
          <w:rFonts w:ascii="Verdana" w:hAnsi="Verdana" w:cs="Calibri"/>
          <w:sz w:val="20"/>
          <w:szCs w:val="20"/>
        </w:rPr>
        <w:t>ven afectadas por la ley y deja fuera</w:t>
      </w:r>
      <w:r w:rsidR="004F292D">
        <w:rPr>
          <w:rFonts w:ascii="Verdana" w:hAnsi="Verdana" w:cs="Calibri"/>
          <w:sz w:val="20"/>
          <w:szCs w:val="20"/>
        </w:rPr>
        <w:t>,</w:t>
      </w:r>
      <w:r w:rsidR="0052394C">
        <w:rPr>
          <w:rFonts w:ascii="Verdana" w:hAnsi="Verdana" w:cs="Calibri"/>
          <w:sz w:val="20"/>
          <w:szCs w:val="20"/>
        </w:rPr>
        <w:t xml:space="preserve"> </w:t>
      </w:r>
      <w:r w:rsidR="00EB7921">
        <w:rPr>
          <w:rFonts w:ascii="Verdana" w:hAnsi="Verdana" w:cs="Calibri"/>
          <w:sz w:val="20"/>
          <w:szCs w:val="20"/>
        </w:rPr>
        <w:t>en el 2.1.f</w:t>
      </w:r>
      <w:r w:rsidR="004F292D">
        <w:rPr>
          <w:rFonts w:ascii="Verdana" w:hAnsi="Verdana" w:cs="Calibri"/>
          <w:sz w:val="20"/>
          <w:szCs w:val="20"/>
        </w:rPr>
        <w:t xml:space="preserve">, </w:t>
      </w:r>
      <w:r w:rsidR="0052394C">
        <w:rPr>
          <w:rFonts w:ascii="Verdana" w:hAnsi="Verdana" w:cs="Calibri"/>
          <w:sz w:val="20"/>
          <w:szCs w:val="20"/>
        </w:rPr>
        <w:t>toda la información que no esté sujeta a derecho administrativo</w:t>
      </w:r>
      <w:r w:rsidR="00EB7921">
        <w:rPr>
          <w:rFonts w:ascii="Verdana" w:hAnsi="Verdana" w:cs="Calibri"/>
          <w:sz w:val="20"/>
          <w:szCs w:val="20"/>
        </w:rPr>
        <w:t xml:space="preserve"> del Poder Legislativo y del Poder J</w:t>
      </w:r>
      <w:r w:rsidR="00C07FF1">
        <w:rPr>
          <w:rFonts w:ascii="Verdana" w:hAnsi="Verdana" w:cs="Calibri"/>
          <w:sz w:val="20"/>
          <w:szCs w:val="20"/>
        </w:rPr>
        <w:t>udicial</w:t>
      </w:r>
      <w:r w:rsidR="004F292D">
        <w:rPr>
          <w:rFonts w:ascii="Verdana" w:hAnsi="Verdana" w:cs="Calibri"/>
          <w:sz w:val="20"/>
          <w:szCs w:val="20"/>
        </w:rPr>
        <w:t>,</w:t>
      </w:r>
      <w:r w:rsidR="00C07FF1">
        <w:rPr>
          <w:rFonts w:ascii="Verdana" w:hAnsi="Verdana" w:cs="Calibri"/>
          <w:sz w:val="20"/>
          <w:szCs w:val="20"/>
        </w:rPr>
        <w:t xml:space="preserve"> así </w:t>
      </w:r>
      <w:r w:rsidR="00EB7921">
        <w:rPr>
          <w:rFonts w:ascii="Verdana" w:hAnsi="Verdana" w:cs="Calibri"/>
          <w:sz w:val="20"/>
          <w:szCs w:val="20"/>
        </w:rPr>
        <w:t xml:space="preserve">como del </w:t>
      </w:r>
      <w:r w:rsidR="00EB7921">
        <w:t>Tribunal Constitucional y el Consejo General del Poder Judicial</w:t>
      </w:r>
      <w:r w:rsidR="004F292D">
        <w:t>,</w:t>
      </w:r>
      <w:r w:rsidR="00EB7921">
        <w:t xml:space="preserve"> el Consejo de Estado, el Defensor del Pueblo, el Tribunal de Cuentas, el Consejo Económico y Social y las instituciones autonómicas análogas.</w:t>
      </w:r>
      <w:r w:rsidR="00EB7921">
        <w:rPr>
          <w:rFonts w:ascii="Verdana" w:hAnsi="Verdana" w:cs="Calibri"/>
          <w:sz w:val="20"/>
          <w:szCs w:val="20"/>
        </w:rPr>
        <w:t xml:space="preserve"> </w:t>
      </w:r>
    </w:p>
    <w:p w:rsidR="00AC0734" w:rsidRDefault="00AC0734" w:rsidP="002A1C82">
      <w:pPr>
        <w:rPr>
          <w:rFonts w:ascii="Verdana" w:hAnsi="Verdana" w:cs="Calibri"/>
          <w:sz w:val="20"/>
          <w:szCs w:val="20"/>
        </w:rPr>
      </w:pPr>
      <w:r>
        <w:rPr>
          <w:rFonts w:ascii="Verdana" w:hAnsi="Verdana" w:cs="Calibri"/>
          <w:sz w:val="20"/>
          <w:szCs w:val="20"/>
        </w:rPr>
        <w:t>Entre las instituciones de gran relevancia democrática que quedan completamente excluidas del alcance de la ley encontramos la Casa Real y los partidos políticos (a pesar de que reciben</w:t>
      </w:r>
      <w:r w:rsidR="00BD677E">
        <w:rPr>
          <w:rFonts w:ascii="Verdana" w:hAnsi="Verdana" w:cs="Calibri"/>
          <w:sz w:val="20"/>
          <w:szCs w:val="20"/>
        </w:rPr>
        <w:t xml:space="preserve"> la mayoría</w:t>
      </w:r>
      <w:r>
        <w:rPr>
          <w:rFonts w:ascii="Verdana" w:hAnsi="Verdana" w:cs="Calibri"/>
          <w:sz w:val="20"/>
          <w:szCs w:val="20"/>
        </w:rPr>
        <w:t xml:space="preserve"> de su financiación de dinero público</w:t>
      </w:r>
      <w:r w:rsidR="004F292D">
        <w:rPr>
          <w:rFonts w:ascii="Verdana" w:hAnsi="Verdana" w:cs="Calibri"/>
          <w:sz w:val="20"/>
          <w:szCs w:val="20"/>
        </w:rPr>
        <w:t>. L</w:t>
      </w:r>
      <w:r>
        <w:rPr>
          <w:rFonts w:ascii="Verdana" w:hAnsi="Verdana" w:cs="Calibri"/>
          <w:sz w:val="20"/>
          <w:szCs w:val="20"/>
        </w:rPr>
        <w:t>a rendición de cuentas de los partidos políticos está regulada por la ley de financiación de partidos políticos</w:t>
      </w:r>
      <w:r w:rsidR="00181C00">
        <w:rPr>
          <w:rFonts w:ascii="Verdana" w:hAnsi="Verdana" w:cs="Calibri"/>
          <w:sz w:val="20"/>
          <w:szCs w:val="20"/>
        </w:rPr>
        <w:t>,</w:t>
      </w:r>
      <w:r>
        <w:rPr>
          <w:rFonts w:ascii="Verdana" w:hAnsi="Verdana" w:cs="Calibri"/>
          <w:sz w:val="20"/>
          <w:szCs w:val="20"/>
        </w:rPr>
        <w:t xml:space="preserve"> que ha demostrado ser </w:t>
      </w:r>
      <w:r w:rsidR="00181C00">
        <w:rPr>
          <w:rFonts w:ascii="Verdana" w:hAnsi="Verdana" w:cs="Calibri"/>
          <w:sz w:val="20"/>
          <w:szCs w:val="20"/>
        </w:rPr>
        <w:t>in</w:t>
      </w:r>
      <w:r>
        <w:rPr>
          <w:rFonts w:ascii="Verdana" w:hAnsi="Verdana" w:cs="Calibri"/>
          <w:sz w:val="20"/>
          <w:szCs w:val="20"/>
        </w:rPr>
        <w:t>eficaz</w:t>
      </w:r>
      <w:r w:rsidR="00181C00">
        <w:rPr>
          <w:rFonts w:ascii="Verdana" w:hAnsi="Verdana" w:cs="Calibri"/>
          <w:sz w:val="20"/>
          <w:szCs w:val="20"/>
        </w:rPr>
        <w:t xml:space="preserve">, </w:t>
      </w:r>
      <w:r>
        <w:rPr>
          <w:rFonts w:ascii="Verdana" w:hAnsi="Verdana" w:cs="Calibri"/>
          <w:sz w:val="20"/>
          <w:szCs w:val="20"/>
        </w:rPr>
        <w:t>ya que no hay auditorías suficientes).</w:t>
      </w:r>
    </w:p>
    <w:p w:rsidR="001D3438" w:rsidRDefault="005A600B" w:rsidP="002A1C82">
      <w:pPr>
        <w:rPr>
          <w:rFonts w:ascii="Verdana" w:hAnsi="Verdana" w:cs="Calibri"/>
          <w:sz w:val="20"/>
          <w:szCs w:val="20"/>
        </w:rPr>
      </w:pPr>
      <w:r>
        <w:rPr>
          <w:rFonts w:ascii="Verdana" w:hAnsi="Verdana" w:cs="Calibri"/>
          <w:sz w:val="20"/>
          <w:szCs w:val="20"/>
        </w:rPr>
        <w:t>Además</w:t>
      </w:r>
      <w:r w:rsidR="004F3D89">
        <w:rPr>
          <w:rFonts w:ascii="Verdana" w:hAnsi="Verdana" w:cs="Calibri"/>
          <w:sz w:val="20"/>
          <w:szCs w:val="20"/>
        </w:rPr>
        <w:t>,</w:t>
      </w:r>
      <w:r>
        <w:rPr>
          <w:rFonts w:ascii="Verdana" w:hAnsi="Verdana" w:cs="Calibri"/>
          <w:sz w:val="20"/>
          <w:szCs w:val="20"/>
        </w:rPr>
        <w:t xml:space="preserve"> de nada sirve decir que todo</w:t>
      </w:r>
      <w:r w:rsidR="004F3D89">
        <w:rPr>
          <w:rFonts w:ascii="Verdana" w:hAnsi="Verdana" w:cs="Calibri"/>
          <w:sz w:val="20"/>
          <w:szCs w:val="20"/>
        </w:rPr>
        <w:t>s</w:t>
      </w:r>
      <w:r>
        <w:rPr>
          <w:rFonts w:ascii="Verdana" w:hAnsi="Verdana" w:cs="Calibri"/>
          <w:sz w:val="20"/>
          <w:szCs w:val="20"/>
        </w:rPr>
        <w:t xml:space="preserve"> </w:t>
      </w:r>
      <w:r w:rsidR="0079732D">
        <w:rPr>
          <w:rFonts w:ascii="Verdana" w:hAnsi="Verdana" w:cs="Calibri"/>
          <w:sz w:val="20"/>
          <w:szCs w:val="20"/>
        </w:rPr>
        <w:t>los</w:t>
      </w:r>
      <w:r>
        <w:rPr>
          <w:rFonts w:ascii="Verdana" w:hAnsi="Verdana" w:cs="Calibri"/>
          <w:sz w:val="20"/>
          <w:szCs w:val="20"/>
        </w:rPr>
        <w:t xml:space="preserve"> organismo</w:t>
      </w:r>
      <w:r w:rsidR="0079732D">
        <w:rPr>
          <w:rFonts w:ascii="Verdana" w:hAnsi="Verdana" w:cs="Calibri"/>
          <w:sz w:val="20"/>
          <w:szCs w:val="20"/>
        </w:rPr>
        <w:t xml:space="preserve">s del </w:t>
      </w:r>
      <w:r w:rsidR="00EB7921">
        <w:rPr>
          <w:rFonts w:ascii="Verdana" w:hAnsi="Verdana" w:cs="Calibri"/>
          <w:sz w:val="20"/>
          <w:szCs w:val="20"/>
        </w:rPr>
        <w:t xml:space="preserve">artículo </w:t>
      </w:r>
      <w:r w:rsidR="0079732D">
        <w:rPr>
          <w:rFonts w:ascii="Verdana" w:hAnsi="Verdana" w:cs="Calibri"/>
          <w:sz w:val="20"/>
          <w:szCs w:val="20"/>
        </w:rPr>
        <w:t>2.1</w:t>
      </w:r>
      <w:r>
        <w:rPr>
          <w:rFonts w:ascii="Verdana" w:hAnsi="Verdana" w:cs="Calibri"/>
          <w:sz w:val="20"/>
          <w:szCs w:val="20"/>
        </w:rPr>
        <w:t xml:space="preserve"> se </w:t>
      </w:r>
      <w:r w:rsidR="00181C00">
        <w:rPr>
          <w:rFonts w:ascii="Verdana" w:hAnsi="Verdana" w:cs="Calibri"/>
          <w:sz w:val="20"/>
          <w:szCs w:val="20"/>
        </w:rPr>
        <w:t xml:space="preserve">vean </w:t>
      </w:r>
      <w:r>
        <w:rPr>
          <w:rFonts w:ascii="Verdana" w:hAnsi="Verdana" w:cs="Calibri"/>
          <w:sz w:val="20"/>
          <w:szCs w:val="20"/>
        </w:rPr>
        <w:t xml:space="preserve">afectados por </w:t>
      </w:r>
      <w:r w:rsidR="004F3D89">
        <w:rPr>
          <w:rFonts w:ascii="Verdana" w:hAnsi="Verdana" w:cs="Calibri"/>
          <w:sz w:val="20"/>
          <w:szCs w:val="20"/>
        </w:rPr>
        <w:t>la L</w:t>
      </w:r>
      <w:r>
        <w:rPr>
          <w:rFonts w:ascii="Verdana" w:hAnsi="Verdana" w:cs="Calibri"/>
          <w:sz w:val="20"/>
          <w:szCs w:val="20"/>
        </w:rPr>
        <w:t>ey si más adelante</w:t>
      </w:r>
      <w:r w:rsidR="004F3D89">
        <w:rPr>
          <w:rFonts w:ascii="Verdana" w:hAnsi="Verdana" w:cs="Calibri"/>
          <w:sz w:val="20"/>
          <w:szCs w:val="20"/>
        </w:rPr>
        <w:t xml:space="preserve"> se estipula</w:t>
      </w:r>
      <w:r>
        <w:rPr>
          <w:rFonts w:ascii="Verdana" w:hAnsi="Verdana" w:cs="Calibri"/>
          <w:sz w:val="20"/>
          <w:szCs w:val="20"/>
        </w:rPr>
        <w:t xml:space="preserve"> que </w:t>
      </w:r>
      <w:r w:rsidR="004F3D89">
        <w:rPr>
          <w:rFonts w:ascii="Verdana" w:hAnsi="Verdana" w:cs="Calibri"/>
          <w:sz w:val="20"/>
          <w:szCs w:val="20"/>
        </w:rPr>
        <w:t xml:space="preserve">algunas de ellas no </w:t>
      </w:r>
      <w:r w:rsidR="00181C00">
        <w:rPr>
          <w:rFonts w:ascii="Verdana" w:hAnsi="Verdana" w:cs="Calibri"/>
          <w:sz w:val="20"/>
          <w:szCs w:val="20"/>
        </w:rPr>
        <w:t xml:space="preserve">van a </w:t>
      </w:r>
      <w:r w:rsidR="004F3D89">
        <w:rPr>
          <w:rFonts w:ascii="Verdana" w:hAnsi="Verdana" w:cs="Calibri"/>
          <w:sz w:val="20"/>
          <w:szCs w:val="20"/>
        </w:rPr>
        <w:t>estar sujetas</w:t>
      </w:r>
      <w:r>
        <w:rPr>
          <w:rFonts w:ascii="Verdana" w:hAnsi="Verdana" w:cs="Calibri"/>
          <w:sz w:val="20"/>
          <w:szCs w:val="20"/>
        </w:rPr>
        <w:t xml:space="preserve"> </w:t>
      </w:r>
      <w:r w:rsidR="00612660">
        <w:rPr>
          <w:rFonts w:ascii="Verdana" w:hAnsi="Verdana" w:cs="Calibri"/>
          <w:sz w:val="20"/>
          <w:szCs w:val="20"/>
        </w:rPr>
        <w:t xml:space="preserve">al cumplimiento de </w:t>
      </w:r>
      <w:r>
        <w:rPr>
          <w:rFonts w:ascii="Verdana" w:hAnsi="Verdana" w:cs="Calibri"/>
          <w:sz w:val="20"/>
          <w:szCs w:val="20"/>
        </w:rPr>
        <w:t>todas las obligaciones que la ley establece</w:t>
      </w:r>
      <w:r w:rsidR="00612660">
        <w:rPr>
          <w:rFonts w:ascii="Verdana" w:hAnsi="Verdana" w:cs="Calibri"/>
          <w:sz w:val="20"/>
          <w:szCs w:val="20"/>
        </w:rPr>
        <w:t>,</w:t>
      </w:r>
      <w:r>
        <w:rPr>
          <w:rFonts w:ascii="Verdana" w:hAnsi="Verdana" w:cs="Calibri"/>
          <w:sz w:val="20"/>
          <w:szCs w:val="20"/>
        </w:rPr>
        <w:t xml:space="preserve"> quedando</w:t>
      </w:r>
      <w:r w:rsidR="00EB7921">
        <w:rPr>
          <w:rFonts w:ascii="Verdana" w:hAnsi="Verdana" w:cs="Calibri"/>
          <w:sz w:val="20"/>
          <w:szCs w:val="20"/>
        </w:rPr>
        <w:t xml:space="preserve"> </w:t>
      </w:r>
      <w:r>
        <w:rPr>
          <w:rFonts w:ascii="Verdana" w:hAnsi="Verdana" w:cs="Calibri"/>
          <w:sz w:val="20"/>
          <w:szCs w:val="20"/>
        </w:rPr>
        <w:t>por ejemplo exent</w:t>
      </w:r>
      <w:r w:rsidR="00612660">
        <w:rPr>
          <w:rFonts w:ascii="Verdana" w:hAnsi="Verdana" w:cs="Calibri"/>
          <w:sz w:val="20"/>
          <w:szCs w:val="20"/>
        </w:rPr>
        <w:t>a</w:t>
      </w:r>
      <w:r>
        <w:rPr>
          <w:rFonts w:ascii="Verdana" w:hAnsi="Verdana" w:cs="Calibri"/>
          <w:sz w:val="20"/>
          <w:szCs w:val="20"/>
        </w:rPr>
        <w:t xml:space="preserve">s de publicar proactivamente información organizativa a las instituciones que no </w:t>
      </w:r>
      <w:r w:rsidR="00612660">
        <w:rPr>
          <w:rFonts w:ascii="Verdana" w:hAnsi="Verdana" w:cs="Calibri"/>
          <w:sz w:val="20"/>
          <w:szCs w:val="20"/>
        </w:rPr>
        <w:t xml:space="preserve">sean </w:t>
      </w:r>
      <w:r>
        <w:rPr>
          <w:rFonts w:ascii="Verdana" w:hAnsi="Verdana" w:cs="Calibri"/>
          <w:sz w:val="20"/>
          <w:szCs w:val="20"/>
        </w:rPr>
        <w:t xml:space="preserve">parte del poder ejecutivo </w:t>
      </w:r>
      <w:r w:rsidR="00612660">
        <w:rPr>
          <w:rFonts w:ascii="Verdana" w:hAnsi="Verdana" w:cs="Calibri"/>
          <w:sz w:val="20"/>
          <w:szCs w:val="20"/>
        </w:rPr>
        <w:t>e imposibilitando</w:t>
      </w:r>
      <w:r>
        <w:rPr>
          <w:rFonts w:ascii="Verdana" w:hAnsi="Verdana" w:cs="Calibri"/>
          <w:sz w:val="20"/>
          <w:szCs w:val="20"/>
        </w:rPr>
        <w:t xml:space="preserve"> recurrir ante el organismo de recurso las denegaciones de información de las instituciones del</w:t>
      </w:r>
      <w:r w:rsidR="00612660">
        <w:rPr>
          <w:rFonts w:ascii="Verdana" w:hAnsi="Verdana" w:cs="Calibri"/>
          <w:sz w:val="20"/>
          <w:szCs w:val="20"/>
        </w:rPr>
        <w:t xml:space="preserve"> art.</w:t>
      </w:r>
      <w:r>
        <w:rPr>
          <w:rFonts w:ascii="Verdana" w:hAnsi="Verdana" w:cs="Calibri"/>
          <w:sz w:val="20"/>
          <w:szCs w:val="20"/>
        </w:rPr>
        <w:t xml:space="preserve"> 2.1.f</w:t>
      </w:r>
      <w:r w:rsidR="00181C00">
        <w:rPr>
          <w:rFonts w:ascii="Verdana" w:hAnsi="Verdana" w:cs="Calibri"/>
          <w:sz w:val="20"/>
          <w:szCs w:val="20"/>
        </w:rPr>
        <w:t xml:space="preserve">, </w:t>
      </w:r>
      <w:r>
        <w:rPr>
          <w:rFonts w:ascii="Verdana" w:hAnsi="Verdana" w:cs="Calibri"/>
          <w:sz w:val="20"/>
          <w:szCs w:val="20"/>
        </w:rPr>
        <w:t>como</w:t>
      </w:r>
      <w:r w:rsidR="00612660">
        <w:rPr>
          <w:rFonts w:ascii="Verdana" w:hAnsi="Verdana" w:cs="Calibri"/>
          <w:sz w:val="20"/>
          <w:szCs w:val="20"/>
        </w:rPr>
        <w:t xml:space="preserve"> el</w:t>
      </w:r>
      <w:r>
        <w:rPr>
          <w:rFonts w:ascii="Verdana" w:hAnsi="Verdana" w:cs="Calibri"/>
          <w:sz w:val="20"/>
          <w:szCs w:val="20"/>
        </w:rPr>
        <w:t xml:space="preserve"> Congreso de los Diputados, el Consejo de General de Poder Judicial o el Tribunal de Cuentas.</w:t>
      </w:r>
    </w:p>
    <w:p w:rsidR="001D3438" w:rsidRDefault="005A600B" w:rsidP="002A1C82">
      <w:pPr>
        <w:pStyle w:val="Prrafodelista"/>
        <w:numPr>
          <w:ilvl w:val="0"/>
          <w:numId w:val="1"/>
        </w:numPr>
        <w:rPr>
          <w:rFonts w:ascii="Verdana" w:hAnsi="Verdana"/>
          <w:i/>
          <w:color w:val="C00000"/>
          <w:sz w:val="20"/>
          <w:szCs w:val="20"/>
        </w:rPr>
      </w:pPr>
      <w:r>
        <w:rPr>
          <w:rFonts w:ascii="Verdana" w:hAnsi="Verdana"/>
          <w:i/>
          <w:color w:val="C00000"/>
          <w:sz w:val="20"/>
          <w:szCs w:val="20"/>
        </w:rPr>
        <w:t xml:space="preserve">Recomendación 2: El parlamento debería </w:t>
      </w:r>
      <w:r w:rsidR="00EB7921">
        <w:rPr>
          <w:rFonts w:ascii="Verdana" w:hAnsi="Verdana"/>
          <w:i/>
          <w:color w:val="C00000"/>
          <w:sz w:val="20"/>
          <w:szCs w:val="20"/>
        </w:rPr>
        <w:t>extender el alcance de este Proyecto de ley y reconocer la</w:t>
      </w:r>
      <w:r>
        <w:rPr>
          <w:rFonts w:ascii="Verdana" w:hAnsi="Verdana"/>
          <w:i/>
          <w:color w:val="C00000"/>
          <w:sz w:val="20"/>
          <w:szCs w:val="20"/>
        </w:rPr>
        <w:t xml:space="preserve"> publicidad de toda la actividad pública, sin excluir ninguna institución y sin más límites que los establecidos en las excepciones recogidas en la propia ley. </w:t>
      </w:r>
    </w:p>
    <w:p w:rsidR="00BD677E" w:rsidRDefault="00BD677E" w:rsidP="002A1C82">
      <w:pPr>
        <w:rPr>
          <w:rFonts w:ascii="Verdana" w:hAnsi="Verdana" w:cs="Calibri"/>
          <w:b/>
          <w:sz w:val="20"/>
          <w:szCs w:val="20"/>
          <w:u w:val="single"/>
        </w:rPr>
      </w:pPr>
    </w:p>
    <w:p w:rsidR="001D3438" w:rsidRDefault="005A600B" w:rsidP="002A1C82">
      <w:r>
        <w:rPr>
          <w:rFonts w:ascii="Verdana" w:hAnsi="Verdana" w:cs="Calibri"/>
          <w:b/>
          <w:sz w:val="20"/>
          <w:szCs w:val="20"/>
          <w:u w:val="single"/>
        </w:rPr>
        <w:t>Problemas con la publicación proactiva de información:</w:t>
      </w:r>
      <w:r>
        <w:rPr>
          <w:rFonts w:ascii="Verdana" w:hAnsi="Verdana" w:cs="Calibri"/>
          <w:sz w:val="20"/>
          <w:szCs w:val="20"/>
        </w:rPr>
        <w:t xml:space="preserve"> Hay cierto tipo de información que debería ser pública en cualquier caso y aunque nadie la solicite</w:t>
      </w:r>
      <w:r w:rsidR="00612660">
        <w:rPr>
          <w:rFonts w:ascii="Verdana" w:hAnsi="Verdana" w:cs="Calibri"/>
          <w:sz w:val="20"/>
          <w:szCs w:val="20"/>
        </w:rPr>
        <w:t>.</w:t>
      </w:r>
      <w:r>
        <w:rPr>
          <w:rFonts w:ascii="Verdana" w:hAnsi="Verdana" w:cs="Calibri"/>
          <w:sz w:val="20"/>
          <w:szCs w:val="20"/>
        </w:rPr>
        <w:t xml:space="preserve"> </w:t>
      </w:r>
      <w:r w:rsidR="00612660">
        <w:rPr>
          <w:rFonts w:ascii="Verdana" w:hAnsi="Verdana" w:cs="Calibri"/>
          <w:sz w:val="20"/>
          <w:szCs w:val="20"/>
        </w:rPr>
        <w:t>E</w:t>
      </w:r>
      <w:r>
        <w:rPr>
          <w:rFonts w:ascii="Verdana" w:hAnsi="Verdana" w:cs="Calibri"/>
          <w:sz w:val="20"/>
          <w:szCs w:val="20"/>
        </w:rPr>
        <w:t xml:space="preserve">ste </w:t>
      </w:r>
      <w:r w:rsidR="00612660">
        <w:rPr>
          <w:rFonts w:ascii="Verdana" w:hAnsi="Verdana" w:cs="Calibri"/>
          <w:sz w:val="20"/>
          <w:szCs w:val="20"/>
        </w:rPr>
        <w:t>P</w:t>
      </w:r>
      <w:r>
        <w:rPr>
          <w:rFonts w:ascii="Verdana" w:hAnsi="Verdana" w:cs="Calibri"/>
          <w:sz w:val="20"/>
          <w:szCs w:val="20"/>
        </w:rPr>
        <w:t xml:space="preserve">royecto de </w:t>
      </w:r>
      <w:r w:rsidR="00612660">
        <w:rPr>
          <w:rFonts w:ascii="Verdana" w:hAnsi="Verdana" w:cs="Calibri"/>
          <w:sz w:val="20"/>
          <w:szCs w:val="20"/>
        </w:rPr>
        <w:t>L</w:t>
      </w:r>
      <w:r>
        <w:rPr>
          <w:rFonts w:ascii="Verdana" w:hAnsi="Verdana" w:cs="Calibri"/>
          <w:sz w:val="20"/>
          <w:szCs w:val="20"/>
        </w:rPr>
        <w:t>ey entiende esto y prevé en su capítulo segundo la publicación de información relativa a la organización, las normas, el presupuesto, la contratación pública o las subvenciones. Sin e</w:t>
      </w:r>
      <w:r w:rsidR="00EB7921">
        <w:rPr>
          <w:rFonts w:ascii="Verdana" w:hAnsi="Verdana" w:cs="Calibri"/>
          <w:sz w:val="20"/>
          <w:szCs w:val="20"/>
        </w:rPr>
        <w:t>mbargo detectamos tres problemas:</w:t>
      </w:r>
    </w:p>
    <w:p w:rsidR="001D3438" w:rsidRDefault="005A600B" w:rsidP="002A1C82">
      <w:pPr>
        <w:rPr>
          <w:rFonts w:ascii="Verdana" w:hAnsi="Verdana" w:cs="Calibri"/>
          <w:sz w:val="20"/>
          <w:szCs w:val="20"/>
        </w:rPr>
      </w:pPr>
      <w:r>
        <w:rPr>
          <w:rFonts w:ascii="Verdana" w:hAnsi="Verdana" w:cs="Calibri"/>
          <w:sz w:val="20"/>
          <w:szCs w:val="20"/>
        </w:rPr>
        <w:t xml:space="preserve">Por un lado </w:t>
      </w:r>
      <w:r w:rsidR="00303146">
        <w:rPr>
          <w:rFonts w:ascii="Verdana" w:hAnsi="Verdana" w:cs="Calibri"/>
          <w:sz w:val="20"/>
          <w:szCs w:val="20"/>
        </w:rPr>
        <w:t xml:space="preserve">el artículo 2.2 del Proyecto de Ley </w:t>
      </w:r>
      <w:r w:rsidR="00CA7E2D">
        <w:rPr>
          <w:rFonts w:ascii="Verdana" w:hAnsi="Verdana" w:cs="Calibri"/>
          <w:sz w:val="20"/>
          <w:szCs w:val="20"/>
        </w:rPr>
        <w:t>excluye de la obligación</w:t>
      </w:r>
      <w:r w:rsidR="00303146">
        <w:rPr>
          <w:rFonts w:ascii="Verdana" w:hAnsi="Verdana" w:cs="Calibri"/>
          <w:sz w:val="20"/>
          <w:szCs w:val="20"/>
        </w:rPr>
        <w:t xml:space="preserve"> </w:t>
      </w:r>
      <w:r>
        <w:rPr>
          <w:rFonts w:ascii="Verdana" w:hAnsi="Verdana" w:cs="Calibri"/>
          <w:sz w:val="20"/>
          <w:szCs w:val="20"/>
        </w:rPr>
        <w:t>de publicar información institucional, organizativa y de planificación</w:t>
      </w:r>
      <w:r w:rsidR="00612660">
        <w:rPr>
          <w:rFonts w:ascii="Verdana" w:hAnsi="Verdana" w:cs="Calibri"/>
          <w:sz w:val="20"/>
          <w:szCs w:val="20"/>
        </w:rPr>
        <w:t>,</w:t>
      </w:r>
      <w:r>
        <w:rPr>
          <w:rFonts w:ascii="Verdana" w:hAnsi="Verdana" w:cs="Calibri"/>
          <w:sz w:val="20"/>
          <w:szCs w:val="20"/>
        </w:rPr>
        <w:t xml:space="preserve"> así como de relevancia jurídica</w:t>
      </w:r>
      <w:r w:rsidR="00612660">
        <w:rPr>
          <w:rFonts w:ascii="Verdana" w:hAnsi="Verdana" w:cs="Calibri"/>
          <w:sz w:val="20"/>
          <w:szCs w:val="20"/>
        </w:rPr>
        <w:t>,</w:t>
      </w:r>
      <w:r>
        <w:rPr>
          <w:rFonts w:ascii="Verdana" w:hAnsi="Verdana" w:cs="Calibri"/>
          <w:sz w:val="20"/>
          <w:szCs w:val="20"/>
        </w:rPr>
        <w:t xml:space="preserve"> a todos los organismos que no son parte del poder ejecutivo</w:t>
      </w:r>
      <w:r w:rsidR="00181C00">
        <w:rPr>
          <w:rFonts w:ascii="Verdana" w:hAnsi="Verdana" w:cs="Calibri"/>
          <w:sz w:val="20"/>
          <w:szCs w:val="20"/>
        </w:rPr>
        <w:t xml:space="preserve">, </w:t>
      </w:r>
      <w:r w:rsidR="00EB7921">
        <w:rPr>
          <w:rFonts w:ascii="Verdana" w:hAnsi="Verdana" w:cs="Calibri"/>
          <w:sz w:val="20"/>
          <w:szCs w:val="20"/>
        </w:rPr>
        <w:t xml:space="preserve"> como el Congreso de los Diputados, las Asambleas legislativas o el Tribunal de Cuentas</w:t>
      </w:r>
      <w:r>
        <w:rPr>
          <w:rFonts w:ascii="Verdana" w:hAnsi="Verdana" w:cs="Calibri"/>
          <w:sz w:val="20"/>
          <w:szCs w:val="20"/>
        </w:rPr>
        <w:t xml:space="preserve">. </w:t>
      </w:r>
      <w:r w:rsidR="00FE3A3D">
        <w:rPr>
          <w:rFonts w:ascii="Verdana" w:hAnsi="Verdana" w:cs="Calibri"/>
          <w:sz w:val="20"/>
          <w:szCs w:val="20"/>
        </w:rPr>
        <w:t>Esto</w:t>
      </w:r>
      <w:r w:rsidR="00612660">
        <w:rPr>
          <w:rFonts w:ascii="Verdana" w:hAnsi="Verdana" w:cs="Calibri"/>
          <w:sz w:val="20"/>
          <w:szCs w:val="20"/>
        </w:rPr>
        <w:t>,</w:t>
      </w:r>
      <w:r>
        <w:rPr>
          <w:rFonts w:ascii="Verdana" w:hAnsi="Verdana" w:cs="Calibri"/>
          <w:sz w:val="20"/>
          <w:szCs w:val="20"/>
        </w:rPr>
        <w:t xml:space="preserve"> además de ser arbitrario, es un grave error ya que esa información es fundamental</w:t>
      </w:r>
      <w:r w:rsidR="00612660">
        <w:rPr>
          <w:rFonts w:ascii="Verdana" w:hAnsi="Verdana" w:cs="Calibri"/>
          <w:sz w:val="20"/>
          <w:szCs w:val="20"/>
        </w:rPr>
        <w:t xml:space="preserve"> para</w:t>
      </w:r>
      <w:r>
        <w:rPr>
          <w:rFonts w:ascii="Verdana" w:hAnsi="Verdana" w:cs="Calibri"/>
          <w:sz w:val="20"/>
          <w:szCs w:val="20"/>
        </w:rPr>
        <w:t xml:space="preserve"> entender el func</w:t>
      </w:r>
      <w:r w:rsidR="00EB7921">
        <w:rPr>
          <w:rFonts w:ascii="Verdana" w:hAnsi="Verdana" w:cs="Calibri"/>
          <w:sz w:val="20"/>
          <w:szCs w:val="20"/>
        </w:rPr>
        <w:t xml:space="preserve">ionamiento de las instituciones y para saber entre otras cosas quién es responsable de qué, </w:t>
      </w:r>
      <w:r w:rsidR="00181C00">
        <w:rPr>
          <w:rFonts w:ascii="Verdana" w:hAnsi="Verdana" w:cs="Calibri"/>
          <w:sz w:val="20"/>
          <w:szCs w:val="20"/>
        </w:rPr>
        <w:t xml:space="preserve">algo </w:t>
      </w:r>
      <w:r w:rsidR="00EB7921">
        <w:rPr>
          <w:rFonts w:ascii="Verdana" w:hAnsi="Verdana" w:cs="Calibri"/>
          <w:sz w:val="20"/>
          <w:szCs w:val="20"/>
        </w:rPr>
        <w:t>fundamental para una rendición de cuentas completa.</w:t>
      </w:r>
    </w:p>
    <w:p w:rsidR="00EB7921" w:rsidRDefault="00EB7921" w:rsidP="002A1C82">
      <w:pPr>
        <w:rPr>
          <w:rFonts w:ascii="Verdana" w:hAnsi="Verdana" w:cs="Calibri"/>
          <w:sz w:val="20"/>
          <w:szCs w:val="20"/>
        </w:rPr>
      </w:pPr>
      <w:r>
        <w:rPr>
          <w:rFonts w:ascii="Verdana" w:hAnsi="Verdana" w:cs="Calibri"/>
          <w:sz w:val="20"/>
          <w:szCs w:val="20"/>
        </w:rPr>
        <w:t>Por otro lado</w:t>
      </w:r>
      <w:r w:rsidR="00181C00">
        <w:rPr>
          <w:rFonts w:ascii="Verdana" w:hAnsi="Verdana" w:cs="Calibri"/>
          <w:sz w:val="20"/>
          <w:szCs w:val="20"/>
        </w:rPr>
        <w:t>,</w:t>
      </w:r>
      <w:r>
        <w:rPr>
          <w:rFonts w:ascii="Verdana" w:hAnsi="Verdana" w:cs="Calibri"/>
          <w:sz w:val="20"/>
          <w:szCs w:val="20"/>
        </w:rPr>
        <w:t xml:space="preserve"> dentro de la lista de información que </w:t>
      </w:r>
      <w:r w:rsidR="004310DE">
        <w:rPr>
          <w:rFonts w:ascii="Verdana" w:hAnsi="Verdana" w:cs="Calibri"/>
          <w:sz w:val="20"/>
          <w:szCs w:val="20"/>
        </w:rPr>
        <w:t xml:space="preserve">desde Access Info Europe consideramos que debería ser </w:t>
      </w:r>
      <w:r>
        <w:rPr>
          <w:rFonts w:ascii="Verdana" w:hAnsi="Verdana" w:cs="Calibri"/>
          <w:sz w:val="20"/>
          <w:szCs w:val="20"/>
        </w:rPr>
        <w:t>pública</w:t>
      </w:r>
      <w:r w:rsidR="00181C00">
        <w:rPr>
          <w:rFonts w:ascii="Verdana" w:hAnsi="Verdana" w:cs="Calibri"/>
          <w:sz w:val="20"/>
          <w:szCs w:val="20"/>
        </w:rPr>
        <w:t>,</w:t>
      </w:r>
      <w:r>
        <w:rPr>
          <w:rFonts w:ascii="Verdana" w:hAnsi="Verdana" w:cs="Calibri"/>
          <w:sz w:val="20"/>
          <w:szCs w:val="20"/>
        </w:rPr>
        <w:t xml:space="preserve"> </w:t>
      </w:r>
      <w:r w:rsidR="00181C00">
        <w:rPr>
          <w:rFonts w:ascii="Verdana" w:hAnsi="Verdana" w:cs="Calibri"/>
          <w:sz w:val="20"/>
          <w:szCs w:val="20"/>
        </w:rPr>
        <w:t xml:space="preserve">está </w:t>
      </w:r>
      <w:r>
        <w:rPr>
          <w:rFonts w:ascii="Verdana" w:hAnsi="Verdana" w:cs="Calibri"/>
          <w:sz w:val="20"/>
          <w:szCs w:val="20"/>
        </w:rPr>
        <w:t>la obligación para cada institución de publicar un listado de toda la información que tienen en su poder</w:t>
      </w:r>
      <w:r w:rsidR="00181C00">
        <w:rPr>
          <w:rFonts w:ascii="Verdana" w:hAnsi="Verdana" w:cs="Calibri"/>
          <w:sz w:val="20"/>
          <w:szCs w:val="20"/>
        </w:rPr>
        <w:t>,</w:t>
      </w:r>
      <w:r>
        <w:rPr>
          <w:rFonts w:ascii="Verdana" w:hAnsi="Verdana" w:cs="Calibri"/>
          <w:sz w:val="20"/>
          <w:szCs w:val="20"/>
        </w:rPr>
        <w:t xml:space="preserve"> así como sus </w:t>
      </w:r>
      <w:r>
        <w:rPr>
          <w:rFonts w:ascii="Verdana" w:hAnsi="Verdana" w:cs="Calibri"/>
          <w:sz w:val="20"/>
          <w:szCs w:val="20"/>
        </w:rPr>
        <w:lastRenderedPageBreak/>
        <w:t>publicaciones. Esto</w:t>
      </w:r>
      <w:r w:rsidR="00181C00">
        <w:rPr>
          <w:rFonts w:ascii="Verdana" w:hAnsi="Verdana" w:cs="Calibri"/>
          <w:sz w:val="20"/>
          <w:szCs w:val="20"/>
        </w:rPr>
        <w:t>,</w:t>
      </w:r>
      <w:r>
        <w:rPr>
          <w:rFonts w:ascii="Verdana" w:hAnsi="Verdana" w:cs="Calibri"/>
          <w:sz w:val="20"/>
          <w:szCs w:val="20"/>
        </w:rPr>
        <w:t xml:space="preserve"> además de facilitar el acceso al solicitante</w:t>
      </w:r>
      <w:r w:rsidR="00181C00">
        <w:rPr>
          <w:rFonts w:ascii="Verdana" w:hAnsi="Verdana" w:cs="Calibri"/>
          <w:sz w:val="20"/>
          <w:szCs w:val="20"/>
        </w:rPr>
        <w:t>,</w:t>
      </w:r>
      <w:r>
        <w:rPr>
          <w:rFonts w:ascii="Verdana" w:hAnsi="Verdana" w:cs="Calibri"/>
          <w:sz w:val="20"/>
          <w:szCs w:val="20"/>
        </w:rPr>
        <w:t xml:space="preserve"> repercute en una mayor eficiencia de gestión de la información para las instituciones públicas.</w:t>
      </w:r>
    </w:p>
    <w:p w:rsidR="00DB1183" w:rsidRDefault="004310DE" w:rsidP="002A1C82">
      <w:pPr>
        <w:rPr>
          <w:rFonts w:ascii="Verdana" w:hAnsi="Verdana" w:cs="Calibri"/>
          <w:sz w:val="20"/>
          <w:szCs w:val="20"/>
        </w:rPr>
      </w:pPr>
      <w:r>
        <w:rPr>
          <w:rFonts w:ascii="Verdana" w:hAnsi="Verdana" w:cs="Calibri"/>
          <w:sz w:val="20"/>
          <w:szCs w:val="20"/>
        </w:rPr>
        <w:t>Por último</w:t>
      </w:r>
      <w:r w:rsidR="00181C00">
        <w:rPr>
          <w:rFonts w:ascii="Verdana" w:hAnsi="Verdana" w:cs="Calibri"/>
          <w:sz w:val="20"/>
          <w:szCs w:val="20"/>
        </w:rPr>
        <w:t>,</w:t>
      </w:r>
      <w:r w:rsidR="005A600B">
        <w:rPr>
          <w:rFonts w:ascii="Verdana" w:hAnsi="Verdana" w:cs="Calibri"/>
          <w:sz w:val="20"/>
          <w:szCs w:val="20"/>
        </w:rPr>
        <w:t xml:space="preserve"> se plantea la creación de un portal de la transparencia sin haber hecho ningún estudio previo sobre si </w:t>
      </w:r>
      <w:r w:rsidR="00181C00">
        <w:rPr>
          <w:rFonts w:ascii="Verdana" w:hAnsi="Verdana" w:cs="Calibri"/>
          <w:sz w:val="20"/>
          <w:szCs w:val="20"/>
        </w:rPr>
        <w:t>é</w:t>
      </w:r>
      <w:r w:rsidR="005A600B">
        <w:rPr>
          <w:rFonts w:ascii="Verdana" w:hAnsi="Verdana" w:cs="Calibri"/>
          <w:sz w:val="20"/>
          <w:szCs w:val="20"/>
        </w:rPr>
        <w:t>sta es la solución más adecuada</w:t>
      </w:r>
      <w:r w:rsidR="00612660">
        <w:rPr>
          <w:rFonts w:ascii="Verdana" w:hAnsi="Verdana" w:cs="Calibri"/>
          <w:sz w:val="20"/>
          <w:szCs w:val="20"/>
        </w:rPr>
        <w:t>.</w:t>
      </w:r>
      <w:r w:rsidR="005A600B">
        <w:rPr>
          <w:rFonts w:ascii="Verdana" w:hAnsi="Verdana" w:cs="Calibri"/>
          <w:sz w:val="20"/>
          <w:szCs w:val="20"/>
        </w:rPr>
        <w:t xml:space="preserve"> </w:t>
      </w:r>
      <w:r w:rsidR="00612660">
        <w:rPr>
          <w:rFonts w:ascii="Verdana" w:hAnsi="Verdana" w:cs="Calibri"/>
          <w:sz w:val="20"/>
          <w:szCs w:val="20"/>
        </w:rPr>
        <w:t>E</w:t>
      </w:r>
      <w:r w:rsidR="005A600B">
        <w:rPr>
          <w:rFonts w:ascii="Verdana" w:hAnsi="Verdana" w:cs="Calibri"/>
          <w:sz w:val="20"/>
          <w:szCs w:val="20"/>
        </w:rPr>
        <w:t>n muchos países se ha optado por publicar la información en las</w:t>
      </w:r>
      <w:r w:rsidR="00612660">
        <w:rPr>
          <w:rFonts w:ascii="Verdana" w:hAnsi="Verdana" w:cs="Calibri"/>
          <w:sz w:val="20"/>
          <w:szCs w:val="20"/>
        </w:rPr>
        <w:t xml:space="preserve"> páginas</w:t>
      </w:r>
      <w:r w:rsidR="005A600B">
        <w:rPr>
          <w:rFonts w:ascii="Verdana" w:hAnsi="Verdana" w:cs="Calibri"/>
          <w:sz w:val="20"/>
          <w:szCs w:val="20"/>
        </w:rPr>
        <w:t xml:space="preserve"> web de cada institución</w:t>
      </w:r>
      <w:r w:rsidR="00612660">
        <w:rPr>
          <w:rFonts w:ascii="Verdana" w:hAnsi="Verdana" w:cs="Calibri"/>
          <w:sz w:val="20"/>
          <w:szCs w:val="20"/>
        </w:rPr>
        <w:t>,</w:t>
      </w:r>
      <w:r w:rsidR="005A600B">
        <w:rPr>
          <w:rFonts w:ascii="Verdana" w:hAnsi="Verdana" w:cs="Calibri"/>
          <w:sz w:val="20"/>
          <w:szCs w:val="20"/>
        </w:rPr>
        <w:t xml:space="preserve"> que es la forma más intuitiva de buscar</w:t>
      </w:r>
      <w:r w:rsidR="00612660">
        <w:rPr>
          <w:rFonts w:ascii="Verdana" w:hAnsi="Verdana" w:cs="Calibri"/>
          <w:sz w:val="20"/>
          <w:szCs w:val="20"/>
        </w:rPr>
        <w:t>la</w:t>
      </w:r>
      <w:r w:rsidR="005A600B">
        <w:rPr>
          <w:rFonts w:ascii="Verdana" w:hAnsi="Verdana" w:cs="Calibri"/>
          <w:sz w:val="20"/>
          <w:szCs w:val="20"/>
        </w:rPr>
        <w:t>. Además</w:t>
      </w:r>
      <w:r w:rsidR="00612660">
        <w:rPr>
          <w:rFonts w:ascii="Verdana" w:hAnsi="Verdana" w:cs="Calibri"/>
          <w:sz w:val="20"/>
          <w:szCs w:val="20"/>
        </w:rPr>
        <w:t>,</w:t>
      </w:r>
      <w:r w:rsidR="00DB1183">
        <w:rPr>
          <w:rFonts w:ascii="Verdana" w:hAnsi="Verdana" w:cs="Calibri"/>
          <w:sz w:val="20"/>
          <w:szCs w:val="20"/>
        </w:rPr>
        <w:t xml:space="preserve"> la</w:t>
      </w:r>
      <w:r w:rsidR="005A600B">
        <w:rPr>
          <w:rFonts w:ascii="Verdana" w:hAnsi="Verdana" w:cs="Calibri"/>
          <w:sz w:val="20"/>
          <w:szCs w:val="20"/>
        </w:rPr>
        <w:t xml:space="preserve"> solución</w:t>
      </w:r>
      <w:r w:rsidR="00EB7921">
        <w:rPr>
          <w:rFonts w:ascii="Verdana" w:hAnsi="Verdana" w:cs="Calibri"/>
          <w:sz w:val="20"/>
          <w:szCs w:val="20"/>
        </w:rPr>
        <w:t xml:space="preserve"> de crear un</w:t>
      </w:r>
      <w:r w:rsidR="00DB1183">
        <w:rPr>
          <w:rFonts w:ascii="Verdana" w:hAnsi="Verdana" w:cs="Calibri"/>
          <w:sz w:val="20"/>
          <w:szCs w:val="20"/>
        </w:rPr>
        <w:t xml:space="preserve"> portal</w:t>
      </w:r>
      <w:r w:rsidR="005A600B">
        <w:rPr>
          <w:rFonts w:ascii="Verdana" w:hAnsi="Verdana" w:cs="Calibri"/>
          <w:sz w:val="20"/>
          <w:szCs w:val="20"/>
        </w:rPr>
        <w:t xml:space="preserve"> s</w:t>
      </w:r>
      <w:r w:rsidR="00181C00">
        <w:rPr>
          <w:rFonts w:ascii="Verdana" w:hAnsi="Verdana" w:cs="Calibri"/>
          <w:sz w:val="20"/>
          <w:szCs w:val="20"/>
        </w:rPr>
        <w:t>ó</w:t>
      </w:r>
      <w:r w:rsidR="005A600B">
        <w:rPr>
          <w:rFonts w:ascii="Verdana" w:hAnsi="Verdana" w:cs="Calibri"/>
          <w:sz w:val="20"/>
          <w:szCs w:val="20"/>
        </w:rPr>
        <w:t>lo será obligatoria para la Administración General del Estado, quedando en el aire la solución que adoptarán las diferentes Comunidades Autónomas o Entidades Locales</w:t>
      </w:r>
      <w:r w:rsidR="00612660">
        <w:rPr>
          <w:rFonts w:ascii="Verdana" w:hAnsi="Verdana" w:cs="Calibri"/>
          <w:sz w:val="20"/>
          <w:szCs w:val="20"/>
        </w:rPr>
        <w:t>.</w:t>
      </w:r>
      <w:r w:rsidR="005A600B">
        <w:rPr>
          <w:rFonts w:ascii="Verdana" w:hAnsi="Verdana" w:cs="Calibri"/>
          <w:sz w:val="20"/>
          <w:szCs w:val="20"/>
        </w:rPr>
        <w:t xml:space="preserve"> </w:t>
      </w:r>
      <w:r w:rsidR="00612660">
        <w:rPr>
          <w:rFonts w:ascii="Verdana" w:hAnsi="Verdana" w:cs="Calibri"/>
          <w:sz w:val="20"/>
          <w:szCs w:val="20"/>
        </w:rPr>
        <w:t>L</w:t>
      </w:r>
      <w:r w:rsidR="005A600B">
        <w:rPr>
          <w:rFonts w:ascii="Verdana" w:hAnsi="Verdana" w:cs="Calibri"/>
          <w:sz w:val="20"/>
          <w:szCs w:val="20"/>
        </w:rPr>
        <w:t>a proliferación de este tipo de portales</w:t>
      </w:r>
      <w:r w:rsidR="00181C00">
        <w:rPr>
          <w:rFonts w:ascii="Verdana" w:hAnsi="Verdana" w:cs="Calibri"/>
          <w:sz w:val="20"/>
          <w:szCs w:val="20"/>
        </w:rPr>
        <w:t>,</w:t>
      </w:r>
      <w:r w:rsidR="008F683E">
        <w:rPr>
          <w:rFonts w:ascii="Verdana" w:hAnsi="Verdana" w:cs="Calibri"/>
          <w:sz w:val="20"/>
          <w:szCs w:val="20"/>
        </w:rPr>
        <w:t xml:space="preserve"> </w:t>
      </w:r>
      <w:r w:rsidR="005A600B">
        <w:rPr>
          <w:rFonts w:ascii="Verdana" w:hAnsi="Verdana" w:cs="Calibri"/>
          <w:sz w:val="20"/>
          <w:szCs w:val="20"/>
        </w:rPr>
        <w:t>sin una coherencia</w:t>
      </w:r>
      <w:r w:rsidR="00612660">
        <w:rPr>
          <w:rFonts w:ascii="Verdana" w:hAnsi="Verdana" w:cs="Calibri"/>
          <w:sz w:val="20"/>
          <w:szCs w:val="20"/>
        </w:rPr>
        <w:t xml:space="preserve">, </w:t>
      </w:r>
      <w:r w:rsidR="005A600B">
        <w:rPr>
          <w:rFonts w:ascii="Verdana" w:hAnsi="Verdana" w:cs="Calibri"/>
          <w:sz w:val="20"/>
          <w:szCs w:val="20"/>
        </w:rPr>
        <w:t>puede provocar una inseguridad a la hora de encontrar la información</w:t>
      </w:r>
      <w:r w:rsidR="00EB7921">
        <w:rPr>
          <w:rFonts w:ascii="Verdana" w:hAnsi="Verdana" w:cs="Calibri"/>
          <w:sz w:val="20"/>
          <w:szCs w:val="20"/>
        </w:rPr>
        <w:t>.</w:t>
      </w:r>
    </w:p>
    <w:p w:rsidR="005A18B7" w:rsidRDefault="005A600B" w:rsidP="002A1C82">
      <w:pPr>
        <w:rPr>
          <w:rFonts w:ascii="Verdana" w:hAnsi="Verdana"/>
          <w:i/>
          <w:color w:val="C00000"/>
          <w:sz w:val="20"/>
          <w:szCs w:val="20"/>
        </w:rPr>
      </w:pPr>
      <w:r>
        <w:rPr>
          <w:rFonts w:ascii="Verdana" w:hAnsi="Verdana"/>
          <w:i/>
          <w:color w:val="C00000"/>
          <w:sz w:val="20"/>
          <w:szCs w:val="20"/>
        </w:rPr>
        <w:t>Recomendación 3:</w:t>
      </w:r>
      <w:r w:rsidR="005A18B7">
        <w:rPr>
          <w:rFonts w:ascii="Verdana" w:hAnsi="Verdana"/>
          <w:i/>
          <w:color w:val="C00000"/>
          <w:sz w:val="20"/>
          <w:szCs w:val="20"/>
        </w:rPr>
        <w:t xml:space="preserve"> </w:t>
      </w:r>
      <w:r w:rsidR="00EB7921">
        <w:rPr>
          <w:rFonts w:ascii="Verdana" w:hAnsi="Verdana"/>
          <w:i/>
          <w:color w:val="C00000"/>
          <w:sz w:val="20"/>
          <w:szCs w:val="20"/>
        </w:rPr>
        <w:t>El parlamento debería asegurar que todas l</w:t>
      </w:r>
      <w:r w:rsidR="005A18B7">
        <w:rPr>
          <w:rFonts w:ascii="Verdana" w:hAnsi="Verdana"/>
          <w:i/>
          <w:color w:val="C00000"/>
          <w:sz w:val="20"/>
          <w:szCs w:val="20"/>
        </w:rPr>
        <w:t>as instituciones públicas tengan</w:t>
      </w:r>
      <w:r w:rsidR="00EB7921">
        <w:rPr>
          <w:rFonts w:ascii="Verdana" w:hAnsi="Verdana"/>
          <w:i/>
          <w:color w:val="C00000"/>
          <w:sz w:val="20"/>
          <w:szCs w:val="20"/>
        </w:rPr>
        <w:t xml:space="preserve"> las mismas obligaciones de public</w:t>
      </w:r>
      <w:r w:rsidR="005A18B7">
        <w:rPr>
          <w:rFonts w:ascii="Verdana" w:hAnsi="Verdana"/>
          <w:i/>
          <w:color w:val="C00000"/>
          <w:sz w:val="20"/>
          <w:szCs w:val="20"/>
        </w:rPr>
        <w:t>ación proactiva de información.</w:t>
      </w:r>
    </w:p>
    <w:p w:rsidR="00EB7921" w:rsidRDefault="00EB7921" w:rsidP="002A1C82">
      <w:pPr>
        <w:rPr>
          <w:rFonts w:ascii="Verdana" w:hAnsi="Verdana"/>
          <w:i/>
          <w:color w:val="C00000"/>
          <w:sz w:val="20"/>
          <w:szCs w:val="20"/>
        </w:rPr>
      </w:pPr>
      <w:r>
        <w:rPr>
          <w:rFonts w:ascii="Verdana" w:hAnsi="Verdana"/>
          <w:i/>
          <w:color w:val="C00000"/>
          <w:sz w:val="20"/>
          <w:szCs w:val="20"/>
        </w:rPr>
        <w:t>Recomendación 4:</w:t>
      </w:r>
      <w:r w:rsidR="005A600B">
        <w:rPr>
          <w:rFonts w:ascii="Verdana" w:hAnsi="Verdana"/>
          <w:i/>
          <w:color w:val="C00000"/>
          <w:sz w:val="20"/>
          <w:szCs w:val="20"/>
        </w:rPr>
        <w:t xml:space="preserve"> </w:t>
      </w:r>
      <w:r w:rsidR="005A18B7">
        <w:rPr>
          <w:rFonts w:ascii="Verdana" w:hAnsi="Verdana"/>
          <w:i/>
          <w:color w:val="C00000"/>
          <w:sz w:val="20"/>
          <w:szCs w:val="20"/>
        </w:rPr>
        <w:t>El parlamento debería incluir dentro de las obligaciones de publicación proactiva de información la publicación de los listados de información que tiene cada institución.</w:t>
      </w:r>
    </w:p>
    <w:p w:rsidR="001D3438" w:rsidRDefault="00EB7921" w:rsidP="002A1C82">
      <w:pPr>
        <w:rPr>
          <w:rFonts w:ascii="Verdana" w:hAnsi="Verdana"/>
          <w:i/>
          <w:color w:val="C00000"/>
          <w:sz w:val="20"/>
          <w:szCs w:val="20"/>
        </w:rPr>
      </w:pPr>
      <w:r>
        <w:rPr>
          <w:rFonts w:ascii="Verdana" w:hAnsi="Verdana"/>
          <w:i/>
          <w:color w:val="C00000"/>
          <w:sz w:val="20"/>
          <w:szCs w:val="20"/>
        </w:rPr>
        <w:t xml:space="preserve">Recomendación 5: </w:t>
      </w:r>
      <w:r w:rsidR="005A600B">
        <w:rPr>
          <w:rFonts w:ascii="Verdana" w:hAnsi="Verdana"/>
          <w:i/>
          <w:color w:val="C00000"/>
          <w:sz w:val="20"/>
          <w:szCs w:val="20"/>
        </w:rPr>
        <w:t>El parlamento debería exigir un estudio de las opciones más adecuadas para publicar la información y debería encontrar una solución común a la publicación de información en todo el territorio para evitar desigualdades en el acceso.</w:t>
      </w:r>
    </w:p>
    <w:p w:rsidR="002A1C82" w:rsidRPr="002A1C82" w:rsidRDefault="00337479" w:rsidP="002A1C82">
      <w:pPr>
        <w:pStyle w:val="Default"/>
        <w:spacing w:after="200" w:line="276" w:lineRule="auto"/>
        <w:rPr>
          <w:rFonts w:ascii="Verdana" w:hAnsi="Verdana"/>
          <w:sz w:val="20"/>
          <w:szCs w:val="20"/>
        </w:rPr>
      </w:pPr>
      <w:r>
        <w:rPr>
          <w:rFonts w:ascii="Verdana" w:hAnsi="Verdana" w:cs="Calibri"/>
          <w:b/>
          <w:sz w:val="20"/>
          <w:szCs w:val="20"/>
          <w:u w:val="single"/>
        </w:rPr>
        <w:t>Débil d</w:t>
      </w:r>
      <w:r w:rsidR="005A600B">
        <w:rPr>
          <w:rFonts w:ascii="Verdana" w:hAnsi="Verdana" w:cs="Calibri"/>
          <w:b/>
          <w:sz w:val="20"/>
          <w:szCs w:val="20"/>
          <w:u w:val="single"/>
        </w:rPr>
        <w:t xml:space="preserve">efinición de </w:t>
      </w:r>
      <w:r>
        <w:rPr>
          <w:rFonts w:ascii="Verdana" w:hAnsi="Verdana" w:cs="Calibri"/>
          <w:b/>
          <w:sz w:val="20"/>
          <w:szCs w:val="20"/>
          <w:u w:val="single"/>
        </w:rPr>
        <w:t>“</w:t>
      </w:r>
      <w:r w:rsidR="005A600B">
        <w:rPr>
          <w:rFonts w:ascii="Verdana" w:hAnsi="Verdana" w:cs="Calibri"/>
          <w:b/>
          <w:sz w:val="20"/>
          <w:szCs w:val="20"/>
          <w:u w:val="single"/>
        </w:rPr>
        <w:t>información</w:t>
      </w:r>
      <w:r>
        <w:rPr>
          <w:rFonts w:ascii="Verdana" w:hAnsi="Verdana" w:cs="Calibri"/>
          <w:b/>
          <w:sz w:val="20"/>
          <w:szCs w:val="20"/>
          <w:u w:val="single"/>
        </w:rPr>
        <w:t>”</w:t>
      </w:r>
      <w:r w:rsidR="005A600B">
        <w:rPr>
          <w:rFonts w:ascii="Verdana" w:hAnsi="Verdana" w:cs="Calibri"/>
          <w:b/>
          <w:sz w:val="20"/>
          <w:szCs w:val="20"/>
          <w:u w:val="single"/>
        </w:rPr>
        <w:t>:</w:t>
      </w:r>
      <w:r w:rsidR="005A600B">
        <w:rPr>
          <w:rFonts w:ascii="Verdana" w:hAnsi="Verdana" w:cs="Calibri"/>
          <w:sz w:val="20"/>
          <w:szCs w:val="20"/>
        </w:rPr>
        <w:t xml:space="preserve"> </w:t>
      </w:r>
      <w:r w:rsidR="002A1C82" w:rsidRPr="002A1C82">
        <w:rPr>
          <w:rFonts w:ascii="Verdana" w:hAnsi="Verdana" w:cs="Calibri"/>
          <w:sz w:val="20"/>
          <w:szCs w:val="20"/>
        </w:rPr>
        <w:t>El Convenio del Consejo de Europa sobre acceso a documentos públicos establece como definición de información: “</w:t>
      </w:r>
      <w:r w:rsidR="002A1C82" w:rsidRPr="002A1C82">
        <w:rPr>
          <w:rFonts w:ascii="Verdana" w:hAnsi="Verdana"/>
          <w:sz w:val="20"/>
          <w:szCs w:val="20"/>
        </w:rPr>
        <w:t>toda la información registrada [archivada] de cualquier forma, elaborada o recibida, y en posesión de las autoridades públicas”</w:t>
      </w:r>
      <w:r w:rsidR="00181C00">
        <w:rPr>
          <w:rFonts w:ascii="Verdana" w:hAnsi="Verdana"/>
          <w:sz w:val="20"/>
          <w:szCs w:val="20"/>
        </w:rPr>
        <w:t xml:space="preserve"> .E</w:t>
      </w:r>
      <w:r w:rsidR="002A1C82" w:rsidRPr="002A1C82">
        <w:rPr>
          <w:rFonts w:ascii="Verdana" w:hAnsi="Verdana"/>
          <w:sz w:val="20"/>
          <w:szCs w:val="20"/>
        </w:rPr>
        <w:t>ste anteproyecto</w:t>
      </w:r>
      <w:r w:rsidR="00181C00">
        <w:rPr>
          <w:rFonts w:ascii="Verdana" w:hAnsi="Verdana"/>
          <w:sz w:val="20"/>
          <w:szCs w:val="20"/>
        </w:rPr>
        <w:t>,</w:t>
      </w:r>
      <w:r w:rsidR="002A1C82" w:rsidRPr="002A1C82">
        <w:rPr>
          <w:rFonts w:ascii="Verdana" w:hAnsi="Verdana"/>
          <w:sz w:val="20"/>
          <w:szCs w:val="20"/>
        </w:rPr>
        <w:t xml:space="preserve"> sin embargo</w:t>
      </w:r>
      <w:r w:rsidR="00181C00">
        <w:rPr>
          <w:rFonts w:ascii="Verdana" w:hAnsi="Verdana"/>
          <w:sz w:val="20"/>
          <w:szCs w:val="20"/>
        </w:rPr>
        <w:t>,</w:t>
      </w:r>
      <w:r w:rsidR="002A1C82" w:rsidRPr="002A1C82">
        <w:rPr>
          <w:rFonts w:ascii="Verdana" w:hAnsi="Verdana"/>
          <w:sz w:val="20"/>
          <w:szCs w:val="20"/>
        </w:rPr>
        <w:t xml:space="preserve"> establece una definición</w:t>
      </w:r>
      <w:r w:rsidR="002A1C82">
        <w:rPr>
          <w:rFonts w:ascii="Verdana" w:hAnsi="Verdana"/>
          <w:sz w:val="20"/>
          <w:szCs w:val="20"/>
        </w:rPr>
        <w:t xml:space="preserve"> </w:t>
      </w:r>
      <w:r w:rsidR="002A1C82" w:rsidRPr="002A1C82">
        <w:rPr>
          <w:rFonts w:ascii="Verdana" w:hAnsi="Verdana"/>
          <w:sz w:val="20"/>
          <w:szCs w:val="20"/>
        </w:rPr>
        <w:t>más débil.</w:t>
      </w:r>
    </w:p>
    <w:p w:rsidR="001D3438" w:rsidRDefault="005A600B" w:rsidP="002A1C82">
      <w:r>
        <w:rPr>
          <w:rFonts w:ascii="Verdana" w:hAnsi="Verdana" w:cs="Calibri"/>
          <w:sz w:val="20"/>
          <w:szCs w:val="20"/>
        </w:rPr>
        <w:t>Por un lado</w:t>
      </w:r>
      <w:r w:rsidR="00181C00">
        <w:rPr>
          <w:rFonts w:ascii="Verdana" w:hAnsi="Verdana" w:cs="Calibri"/>
          <w:sz w:val="20"/>
          <w:szCs w:val="20"/>
        </w:rPr>
        <w:t>,</w:t>
      </w:r>
      <w:r>
        <w:rPr>
          <w:rFonts w:ascii="Verdana" w:hAnsi="Verdana" w:cs="Calibri"/>
          <w:sz w:val="20"/>
          <w:szCs w:val="20"/>
        </w:rPr>
        <w:t xml:space="preserve"> no menciona que se podrá solicitar información sin importar el formato en el que esté almacenada</w:t>
      </w:r>
      <w:r w:rsidR="00337479">
        <w:rPr>
          <w:rFonts w:ascii="Verdana" w:hAnsi="Verdana" w:cs="Calibri"/>
          <w:sz w:val="20"/>
          <w:szCs w:val="20"/>
        </w:rPr>
        <w:t xml:space="preserve">. </w:t>
      </w:r>
      <w:r w:rsidR="00FE3A3D">
        <w:rPr>
          <w:rFonts w:ascii="Verdana" w:hAnsi="Verdana" w:cs="Calibri"/>
          <w:sz w:val="20"/>
          <w:szCs w:val="20"/>
        </w:rPr>
        <w:t>Esto</w:t>
      </w:r>
      <w:r>
        <w:rPr>
          <w:rFonts w:ascii="Verdana" w:hAnsi="Verdana" w:cs="Calibri"/>
          <w:sz w:val="20"/>
          <w:szCs w:val="20"/>
        </w:rPr>
        <w:t xml:space="preserve"> es especialmente importante para poder asegurar una coherencia con las políticas de reutilización de información</w:t>
      </w:r>
      <w:r w:rsidR="00181C00">
        <w:rPr>
          <w:rFonts w:ascii="Verdana" w:hAnsi="Verdana" w:cs="Calibri"/>
          <w:sz w:val="20"/>
          <w:szCs w:val="20"/>
        </w:rPr>
        <w:t>,</w:t>
      </w:r>
      <w:r>
        <w:rPr>
          <w:rFonts w:ascii="Verdana" w:hAnsi="Verdana" w:cs="Calibri"/>
          <w:sz w:val="20"/>
          <w:szCs w:val="20"/>
        </w:rPr>
        <w:t xml:space="preserve"> que cada vez cobran más importancia en España. </w:t>
      </w:r>
    </w:p>
    <w:p w:rsidR="001D3438" w:rsidRDefault="005A600B" w:rsidP="002A1C82">
      <w:r>
        <w:rPr>
          <w:rFonts w:ascii="Verdana" w:hAnsi="Verdana" w:cs="Calibri"/>
          <w:sz w:val="20"/>
          <w:szCs w:val="20"/>
        </w:rPr>
        <w:t xml:space="preserve">Por otro lado, aunque es acertado mencionar que se podrá acceder a la información que </w:t>
      </w:r>
      <w:r>
        <w:rPr>
          <w:rFonts w:ascii="Verdana" w:eastAsia="Times New Roman" w:hAnsi="Verdana"/>
          <w:sz w:val="20"/>
          <w:szCs w:val="20"/>
          <w:lang w:eastAsia="es-ES"/>
        </w:rPr>
        <w:t xml:space="preserve">haya sido </w:t>
      </w:r>
      <w:r w:rsidR="002A1C82">
        <w:rPr>
          <w:rFonts w:ascii="Verdana" w:eastAsia="Times New Roman" w:hAnsi="Verdana"/>
          <w:sz w:val="20"/>
          <w:szCs w:val="20"/>
          <w:lang w:eastAsia="es-ES"/>
        </w:rPr>
        <w:t>“</w:t>
      </w:r>
      <w:r w:rsidRPr="002A1C82">
        <w:rPr>
          <w:rFonts w:ascii="Verdana" w:eastAsia="Times New Roman" w:hAnsi="Verdana"/>
          <w:sz w:val="20"/>
          <w:szCs w:val="20"/>
          <w:u w:val="single"/>
          <w:lang w:eastAsia="es-ES"/>
        </w:rPr>
        <w:t>elaborada o adquirida</w:t>
      </w:r>
      <w:r>
        <w:rPr>
          <w:rFonts w:ascii="Verdana" w:eastAsia="Times New Roman" w:hAnsi="Verdana"/>
          <w:sz w:val="20"/>
          <w:szCs w:val="20"/>
          <w:lang w:eastAsia="es-ES"/>
        </w:rPr>
        <w:t xml:space="preserve"> en el ejercicio de las funciones de los sujetos obligados</w:t>
      </w:r>
      <w:r w:rsidR="002A1C82">
        <w:rPr>
          <w:rFonts w:ascii="Verdana" w:eastAsia="Times New Roman" w:hAnsi="Verdana"/>
          <w:sz w:val="20"/>
          <w:szCs w:val="20"/>
          <w:lang w:eastAsia="es-ES"/>
        </w:rPr>
        <w:t>”</w:t>
      </w:r>
      <w:r>
        <w:rPr>
          <w:rFonts w:ascii="Verdana" w:hAnsi="Verdana" w:cs="Calibri"/>
          <w:sz w:val="20"/>
          <w:szCs w:val="20"/>
        </w:rPr>
        <w:t>, esto se contradice directamente con el artículo 16.4</w:t>
      </w:r>
      <w:r w:rsidR="00181C00">
        <w:rPr>
          <w:rFonts w:ascii="Verdana" w:hAnsi="Verdana" w:cs="Calibri"/>
          <w:sz w:val="20"/>
          <w:szCs w:val="20"/>
        </w:rPr>
        <w:t>,</w:t>
      </w:r>
      <w:r>
        <w:rPr>
          <w:rFonts w:ascii="Verdana" w:hAnsi="Verdana" w:cs="Calibri"/>
          <w:sz w:val="20"/>
          <w:szCs w:val="20"/>
        </w:rPr>
        <w:t xml:space="preserve"> que establece que “</w:t>
      </w:r>
      <w:r>
        <w:rPr>
          <w:rFonts w:ascii="Verdana" w:eastAsia="Times New Roman" w:hAnsi="Verdana" w:cs="Calibri"/>
          <w:sz w:val="20"/>
          <w:szCs w:val="20"/>
          <w:lang w:eastAsia="es-ES"/>
        </w:rPr>
        <w:t xml:space="preserve">Cuando la información objeto de la solicitud, aun obrando en poder del sujeto al que se dirige, haya sido elaborada o generada en su integridad o parte principal por otro, se le remitirá la solicitud a éste para que decida sobre el acceso”, haciendo muy ineficiente el acceso. </w:t>
      </w:r>
    </w:p>
    <w:p w:rsidR="00DB1183" w:rsidRDefault="002A1C82"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6</w:t>
      </w:r>
      <w:r w:rsidR="005A600B">
        <w:rPr>
          <w:rFonts w:ascii="Verdana" w:hAnsi="Verdana"/>
          <w:i/>
          <w:color w:val="C00000"/>
          <w:sz w:val="20"/>
          <w:szCs w:val="20"/>
        </w:rPr>
        <w:t>: El parlamento debería incluir una mención al formato en la defini</w:t>
      </w:r>
      <w:r>
        <w:rPr>
          <w:rFonts w:ascii="Verdana" w:hAnsi="Verdana"/>
          <w:i/>
          <w:color w:val="C00000"/>
          <w:sz w:val="20"/>
          <w:szCs w:val="20"/>
        </w:rPr>
        <w:t>ción de información, en concreto debería establecer que se podrá acceder a cualquier información sin importar el formato en el que esté almacenada.</w:t>
      </w:r>
      <w:r w:rsidR="005A600B">
        <w:rPr>
          <w:rFonts w:ascii="Verdana" w:hAnsi="Verdana"/>
          <w:i/>
          <w:color w:val="C00000"/>
          <w:sz w:val="20"/>
          <w:szCs w:val="20"/>
        </w:rPr>
        <w:t xml:space="preserve"> </w:t>
      </w:r>
    </w:p>
    <w:p w:rsidR="00DB1183" w:rsidRDefault="002A1C82"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7: El Parlamento d</w:t>
      </w:r>
      <w:r w:rsidR="005A600B">
        <w:rPr>
          <w:rFonts w:ascii="Verdana" w:hAnsi="Verdana"/>
          <w:i/>
          <w:color w:val="C00000"/>
          <w:sz w:val="20"/>
          <w:szCs w:val="20"/>
        </w:rPr>
        <w:t>ebería eliminar el p</w:t>
      </w:r>
      <w:r>
        <w:rPr>
          <w:rFonts w:ascii="Verdana" w:hAnsi="Verdana"/>
          <w:i/>
          <w:color w:val="C00000"/>
          <w:sz w:val="20"/>
          <w:szCs w:val="20"/>
        </w:rPr>
        <w:t xml:space="preserve">árrafo cuarto del artículo 16 que contradice frontalmente la definición de información </w:t>
      </w:r>
      <w:r w:rsidR="00F51AEF">
        <w:rPr>
          <w:rFonts w:ascii="Verdana" w:hAnsi="Verdana"/>
          <w:i/>
          <w:color w:val="C00000"/>
          <w:sz w:val="20"/>
          <w:szCs w:val="20"/>
        </w:rPr>
        <w:t>de la propia ley.</w:t>
      </w:r>
    </w:p>
    <w:p w:rsidR="001D3438" w:rsidRPr="00CA6623" w:rsidRDefault="005A600B" w:rsidP="00CA6623">
      <w:pPr>
        <w:rPr>
          <w:sz w:val="24"/>
          <w:szCs w:val="24"/>
        </w:rPr>
      </w:pPr>
      <w:r>
        <w:rPr>
          <w:rFonts w:ascii="Verdana" w:hAnsi="Verdana" w:cs="Calibri"/>
          <w:b/>
          <w:sz w:val="20"/>
          <w:szCs w:val="20"/>
          <w:u w:val="single"/>
        </w:rPr>
        <w:lastRenderedPageBreak/>
        <w:t>Problemas con los límites al acceso:</w:t>
      </w:r>
      <w:r>
        <w:rPr>
          <w:rFonts w:ascii="Verdana" w:hAnsi="Verdana" w:cs="Calibri"/>
          <w:sz w:val="20"/>
          <w:szCs w:val="20"/>
        </w:rPr>
        <w:t xml:space="preserve"> </w:t>
      </w:r>
      <w:r w:rsidR="00F51AEF">
        <w:rPr>
          <w:rFonts w:ascii="Verdana" w:hAnsi="Verdana" w:cs="Calibri"/>
          <w:sz w:val="20"/>
          <w:szCs w:val="20"/>
        </w:rPr>
        <w:t>La lista de excepciones al derecho de acceso de este Proyecto de Ley es acorde con los estándares internacionales</w:t>
      </w:r>
      <w:r w:rsidR="00DB1183">
        <w:rPr>
          <w:rFonts w:ascii="Verdana" w:hAnsi="Verdana" w:cs="Calibri"/>
          <w:sz w:val="20"/>
          <w:szCs w:val="20"/>
        </w:rPr>
        <w:t xml:space="preserve"> </w:t>
      </w:r>
      <w:r w:rsidR="00F51AEF">
        <w:rPr>
          <w:rFonts w:ascii="Verdana" w:hAnsi="Verdana" w:cs="Calibri"/>
          <w:sz w:val="20"/>
          <w:szCs w:val="20"/>
        </w:rPr>
        <w:t xml:space="preserve">e incluye </w:t>
      </w:r>
      <w:r>
        <w:rPr>
          <w:rFonts w:ascii="Verdana" w:hAnsi="Verdana" w:cs="Calibri"/>
          <w:sz w:val="20"/>
          <w:szCs w:val="20"/>
        </w:rPr>
        <w:t>la prueba de daño y de interés público</w:t>
      </w:r>
      <w:r w:rsidR="00305C61">
        <w:rPr>
          <w:rFonts w:ascii="Verdana" w:hAnsi="Verdana" w:cs="Calibri"/>
          <w:sz w:val="20"/>
          <w:szCs w:val="20"/>
        </w:rPr>
        <w:t>. S</w:t>
      </w:r>
      <w:r>
        <w:rPr>
          <w:rFonts w:ascii="Verdana" w:hAnsi="Verdana" w:cs="Calibri"/>
          <w:sz w:val="20"/>
          <w:szCs w:val="20"/>
        </w:rPr>
        <w:t>in embargo</w:t>
      </w:r>
      <w:r w:rsidR="00305C61">
        <w:rPr>
          <w:rFonts w:ascii="Verdana" w:hAnsi="Verdana" w:cs="Calibri"/>
          <w:sz w:val="20"/>
          <w:szCs w:val="20"/>
        </w:rPr>
        <w:t xml:space="preserve">, el Convenio del Consejo de Europa </w:t>
      </w:r>
      <w:r w:rsidR="00380F17">
        <w:rPr>
          <w:rFonts w:ascii="Verdana" w:hAnsi="Verdana" w:cs="Calibri"/>
          <w:sz w:val="20"/>
          <w:szCs w:val="20"/>
        </w:rPr>
        <w:t xml:space="preserve">recomienda </w:t>
      </w:r>
      <w:r w:rsidR="004310DE">
        <w:rPr>
          <w:rFonts w:ascii="Verdana" w:hAnsi="Verdana" w:cs="Calibri"/>
          <w:sz w:val="20"/>
          <w:szCs w:val="20"/>
        </w:rPr>
        <w:t>a</w:t>
      </w:r>
      <w:r w:rsidR="00305C61">
        <w:rPr>
          <w:rFonts w:ascii="Verdana" w:hAnsi="Verdana" w:cs="Calibri"/>
          <w:sz w:val="20"/>
          <w:szCs w:val="20"/>
        </w:rPr>
        <w:t xml:space="preserve"> </w:t>
      </w:r>
      <w:r w:rsidR="004310DE">
        <w:rPr>
          <w:rFonts w:ascii="Verdana" w:hAnsi="Verdana" w:cs="Calibri"/>
          <w:sz w:val="20"/>
          <w:szCs w:val="20"/>
        </w:rPr>
        <w:t>los Estados P</w:t>
      </w:r>
      <w:r w:rsidR="00776008">
        <w:rPr>
          <w:rFonts w:ascii="Verdana" w:hAnsi="Verdana" w:cs="Calibri"/>
          <w:sz w:val="20"/>
          <w:szCs w:val="20"/>
        </w:rPr>
        <w:t xml:space="preserve">artes </w:t>
      </w:r>
      <w:r w:rsidR="005E0963">
        <w:rPr>
          <w:rFonts w:ascii="Verdana" w:hAnsi="Verdana" w:cs="Calibri"/>
          <w:sz w:val="20"/>
          <w:szCs w:val="20"/>
        </w:rPr>
        <w:t>“</w:t>
      </w:r>
      <w:r w:rsidR="00776008">
        <w:rPr>
          <w:sz w:val="23"/>
          <w:szCs w:val="23"/>
        </w:rPr>
        <w:t>fijar unos plazos más allá de los cuales los límites mencionados</w:t>
      </w:r>
      <w:r w:rsidR="005E0963">
        <w:rPr>
          <w:sz w:val="23"/>
          <w:szCs w:val="23"/>
        </w:rPr>
        <w:t xml:space="preserve">… </w:t>
      </w:r>
      <w:r w:rsidR="00776008">
        <w:rPr>
          <w:sz w:val="23"/>
          <w:szCs w:val="23"/>
        </w:rPr>
        <w:t>dejen de ser aplicables</w:t>
      </w:r>
      <w:r w:rsidR="00F65623">
        <w:rPr>
          <w:sz w:val="23"/>
          <w:szCs w:val="23"/>
        </w:rPr>
        <w:t>”</w:t>
      </w:r>
      <w:r w:rsidR="004310DE">
        <w:rPr>
          <w:rFonts w:ascii="Verdana" w:hAnsi="Verdana" w:cs="Calibri"/>
          <w:sz w:val="20"/>
          <w:szCs w:val="20"/>
        </w:rPr>
        <w:t xml:space="preserve">, por lo tanto </w:t>
      </w:r>
      <w:r>
        <w:rPr>
          <w:rFonts w:ascii="Verdana" w:hAnsi="Verdana" w:cs="Calibri"/>
          <w:sz w:val="20"/>
          <w:szCs w:val="20"/>
        </w:rPr>
        <w:t>la aplicación de las excepciones puede mejorar</w:t>
      </w:r>
      <w:r w:rsidR="00113D9B">
        <w:rPr>
          <w:rFonts w:ascii="Verdana" w:hAnsi="Verdana" w:cs="Calibri"/>
          <w:sz w:val="20"/>
          <w:szCs w:val="20"/>
        </w:rPr>
        <w:t>se</w:t>
      </w:r>
      <w:r>
        <w:rPr>
          <w:rFonts w:ascii="Verdana" w:hAnsi="Verdana" w:cs="Calibri"/>
          <w:sz w:val="20"/>
          <w:szCs w:val="20"/>
        </w:rPr>
        <w:t xml:space="preserve"> añadiendo una mención </w:t>
      </w:r>
      <w:r w:rsidR="00113D9B">
        <w:rPr>
          <w:rFonts w:ascii="Verdana" w:hAnsi="Verdana" w:cs="Calibri"/>
          <w:sz w:val="20"/>
          <w:szCs w:val="20"/>
        </w:rPr>
        <w:t xml:space="preserve">relativa </w:t>
      </w:r>
      <w:r>
        <w:rPr>
          <w:rFonts w:ascii="Verdana" w:hAnsi="Verdana" w:cs="Calibri"/>
          <w:sz w:val="20"/>
          <w:szCs w:val="20"/>
        </w:rPr>
        <w:t xml:space="preserve">a que </w:t>
      </w:r>
      <w:r w:rsidR="00113D9B">
        <w:rPr>
          <w:rFonts w:ascii="Verdana" w:hAnsi="Verdana" w:cs="Calibri"/>
          <w:sz w:val="20"/>
          <w:szCs w:val="20"/>
        </w:rPr>
        <w:t>“</w:t>
      </w:r>
      <w:r>
        <w:rPr>
          <w:rFonts w:ascii="Verdana" w:hAnsi="Verdana" w:cs="Calibri"/>
          <w:sz w:val="20"/>
          <w:szCs w:val="20"/>
        </w:rPr>
        <w:t>cuando la causa para no publicar deje de existir deberá publicarse la información o establecer</w:t>
      </w:r>
      <w:r w:rsidR="00113D9B">
        <w:rPr>
          <w:rFonts w:ascii="Verdana" w:hAnsi="Verdana" w:cs="Calibri"/>
          <w:sz w:val="20"/>
          <w:szCs w:val="20"/>
        </w:rPr>
        <w:t>se</w:t>
      </w:r>
      <w:r>
        <w:rPr>
          <w:rFonts w:ascii="Verdana" w:hAnsi="Verdana" w:cs="Calibri"/>
          <w:sz w:val="20"/>
          <w:szCs w:val="20"/>
        </w:rPr>
        <w:t xml:space="preserve"> un límite de tiempo para que deje de ser información no publicable.</w:t>
      </w:r>
      <w:r w:rsidR="00113D9B">
        <w:rPr>
          <w:rFonts w:ascii="Verdana" w:hAnsi="Verdana" w:cs="Calibri"/>
          <w:sz w:val="20"/>
          <w:szCs w:val="20"/>
        </w:rPr>
        <w:t>”</w:t>
      </w:r>
    </w:p>
    <w:p w:rsidR="001D3438" w:rsidRDefault="005A600B" w:rsidP="002A1C82">
      <w:pPr>
        <w:rPr>
          <w:rFonts w:ascii="Verdana" w:hAnsi="Verdana" w:cs="Calibri"/>
          <w:sz w:val="20"/>
          <w:szCs w:val="20"/>
        </w:rPr>
      </w:pPr>
      <w:r>
        <w:rPr>
          <w:rFonts w:ascii="Verdana" w:hAnsi="Verdana" w:cs="Calibri"/>
          <w:sz w:val="20"/>
          <w:szCs w:val="20"/>
        </w:rPr>
        <w:t>El mayor problema con los límites al acceso</w:t>
      </w:r>
      <w:r w:rsidR="00FC3E20">
        <w:rPr>
          <w:rFonts w:ascii="Verdana" w:hAnsi="Verdana" w:cs="Calibri"/>
          <w:sz w:val="20"/>
          <w:szCs w:val="20"/>
        </w:rPr>
        <w:t>, cl</w:t>
      </w:r>
      <w:r w:rsidR="00F51AEF">
        <w:rPr>
          <w:rFonts w:ascii="Verdana" w:hAnsi="Verdana" w:cs="Calibri"/>
          <w:sz w:val="20"/>
          <w:szCs w:val="20"/>
        </w:rPr>
        <w:t>aramente en contra con los está</w:t>
      </w:r>
      <w:r w:rsidR="00FC3E20">
        <w:rPr>
          <w:rFonts w:ascii="Verdana" w:hAnsi="Verdana" w:cs="Calibri"/>
          <w:sz w:val="20"/>
          <w:szCs w:val="20"/>
        </w:rPr>
        <w:t xml:space="preserve">ndares internacionales y </w:t>
      </w:r>
      <w:r w:rsidR="00FC3E20" w:rsidRPr="001143E9">
        <w:rPr>
          <w:rFonts w:ascii="Verdana" w:hAnsi="Verdana" w:cs="Calibri"/>
          <w:sz w:val="20"/>
          <w:szCs w:val="20"/>
        </w:rPr>
        <w:t>crit</w:t>
      </w:r>
      <w:r w:rsidR="00F51AEF" w:rsidRPr="001143E9">
        <w:rPr>
          <w:rFonts w:ascii="Verdana" w:hAnsi="Verdana" w:cs="Calibri"/>
          <w:sz w:val="20"/>
          <w:szCs w:val="20"/>
        </w:rPr>
        <w:t>i</w:t>
      </w:r>
      <w:r w:rsidR="00FC3E20" w:rsidRPr="001143E9">
        <w:rPr>
          <w:rFonts w:ascii="Verdana" w:hAnsi="Verdana" w:cs="Calibri"/>
          <w:sz w:val="20"/>
          <w:szCs w:val="20"/>
        </w:rPr>
        <w:t>cado por la OSCE</w:t>
      </w:r>
      <w:r w:rsidR="001143E9">
        <w:rPr>
          <w:rStyle w:val="Refdenotaalpie"/>
          <w:rFonts w:ascii="Verdana" w:hAnsi="Verdana" w:cs="Calibri"/>
          <w:sz w:val="20"/>
          <w:szCs w:val="20"/>
        </w:rPr>
        <w:footnoteReference w:id="6"/>
      </w:r>
      <w:r>
        <w:rPr>
          <w:rFonts w:ascii="Verdana" w:hAnsi="Verdana" w:cs="Calibri"/>
          <w:sz w:val="20"/>
          <w:szCs w:val="20"/>
        </w:rPr>
        <w:t xml:space="preserve"> es que se siguen ex</w:t>
      </w:r>
      <w:r w:rsidR="00F51AEF">
        <w:rPr>
          <w:rFonts w:ascii="Verdana" w:hAnsi="Verdana" w:cs="Calibri"/>
          <w:sz w:val="20"/>
          <w:szCs w:val="20"/>
        </w:rPr>
        <w:t xml:space="preserve">cluyendo tipos de información, las solicitudes de </w:t>
      </w:r>
      <w:r>
        <w:rPr>
          <w:rFonts w:ascii="Verdana" w:hAnsi="Verdana" w:cs="Calibri"/>
          <w:sz w:val="20"/>
          <w:szCs w:val="20"/>
        </w:rPr>
        <w:t xml:space="preserve">información en curso de elaboración, </w:t>
      </w:r>
      <w:r w:rsidR="00F51AEF">
        <w:rPr>
          <w:rFonts w:ascii="Verdana" w:hAnsi="Verdana" w:cs="Calibri"/>
          <w:sz w:val="20"/>
          <w:szCs w:val="20"/>
        </w:rPr>
        <w:t xml:space="preserve">de </w:t>
      </w:r>
      <w:r>
        <w:rPr>
          <w:rFonts w:ascii="Verdana" w:hAnsi="Verdana" w:cs="Calibri"/>
          <w:sz w:val="20"/>
          <w:szCs w:val="20"/>
        </w:rPr>
        <w:t>información auxiliar o de apoyo como son las notas, los bor</w:t>
      </w:r>
      <w:r w:rsidR="00F51AEF">
        <w:rPr>
          <w:rFonts w:ascii="Verdana" w:hAnsi="Verdana" w:cs="Calibri"/>
          <w:sz w:val="20"/>
          <w:szCs w:val="20"/>
        </w:rPr>
        <w:t>radores, los informes internos y de</w:t>
      </w:r>
      <w:r>
        <w:rPr>
          <w:rFonts w:ascii="Verdana" w:hAnsi="Verdana" w:cs="Calibri"/>
          <w:sz w:val="20"/>
          <w:szCs w:val="20"/>
        </w:rPr>
        <w:t xml:space="preserve"> información para cuya publicación sea necesario un trabajo de </w:t>
      </w:r>
      <w:r w:rsidR="00F51AEF">
        <w:rPr>
          <w:rFonts w:ascii="Verdana" w:hAnsi="Verdana" w:cs="Calibri"/>
          <w:sz w:val="20"/>
          <w:szCs w:val="20"/>
        </w:rPr>
        <w:t>relaboración serán inadmitidas a trámite</w:t>
      </w:r>
      <w:r w:rsidR="00181C00">
        <w:rPr>
          <w:rFonts w:ascii="Verdana" w:hAnsi="Verdana" w:cs="Calibri"/>
          <w:sz w:val="20"/>
          <w:szCs w:val="20"/>
        </w:rPr>
        <w:t>. E</w:t>
      </w:r>
      <w:r w:rsidR="00F51AEF">
        <w:rPr>
          <w:rFonts w:ascii="Verdana" w:hAnsi="Verdana" w:cs="Calibri"/>
          <w:sz w:val="20"/>
          <w:szCs w:val="20"/>
        </w:rPr>
        <w:t>s decir</w:t>
      </w:r>
      <w:r w:rsidR="00181C00">
        <w:rPr>
          <w:rFonts w:ascii="Verdana" w:hAnsi="Verdana" w:cs="Calibri"/>
          <w:sz w:val="20"/>
          <w:szCs w:val="20"/>
        </w:rPr>
        <w:t>,</w:t>
      </w:r>
      <w:r w:rsidR="00F51AEF">
        <w:rPr>
          <w:rFonts w:ascii="Verdana" w:hAnsi="Verdana" w:cs="Calibri"/>
          <w:sz w:val="20"/>
          <w:szCs w:val="20"/>
        </w:rPr>
        <w:t xml:space="preserve"> que se excluyen tipos de información</w:t>
      </w:r>
      <w:r>
        <w:rPr>
          <w:rFonts w:ascii="Verdana" w:hAnsi="Verdana" w:cs="Calibri"/>
          <w:sz w:val="20"/>
          <w:szCs w:val="20"/>
        </w:rPr>
        <w:t>. Excluir tipos de información no tiene sentido</w:t>
      </w:r>
      <w:r w:rsidR="00181C00">
        <w:rPr>
          <w:rFonts w:ascii="Verdana" w:hAnsi="Verdana" w:cs="Calibri"/>
          <w:sz w:val="20"/>
          <w:szCs w:val="20"/>
        </w:rPr>
        <w:t>,</w:t>
      </w:r>
      <w:r>
        <w:rPr>
          <w:rFonts w:ascii="Verdana" w:hAnsi="Verdana" w:cs="Calibri"/>
          <w:sz w:val="20"/>
          <w:szCs w:val="20"/>
        </w:rPr>
        <w:t xml:space="preserve"> ya que las excepciones son suficientes para proteger los intereses legítimos que podrían verse dañados con la publicación de cualquier información</w:t>
      </w:r>
      <w:r w:rsidR="00F51AEF">
        <w:rPr>
          <w:rFonts w:ascii="Verdana" w:hAnsi="Verdana" w:cs="Calibri"/>
          <w:sz w:val="20"/>
          <w:szCs w:val="20"/>
        </w:rPr>
        <w:t>, además</w:t>
      </w:r>
      <w:r w:rsidR="00181C00">
        <w:rPr>
          <w:rFonts w:ascii="Verdana" w:hAnsi="Verdana" w:cs="Calibri"/>
          <w:sz w:val="20"/>
          <w:szCs w:val="20"/>
        </w:rPr>
        <w:t>,</w:t>
      </w:r>
      <w:r w:rsidR="00F51AEF">
        <w:rPr>
          <w:rFonts w:ascii="Verdana" w:hAnsi="Verdana" w:cs="Calibri"/>
          <w:sz w:val="20"/>
          <w:szCs w:val="20"/>
        </w:rPr>
        <w:t xml:space="preserve"> contradice </w:t>
      </w:r>
      <w:r w:rsidR="00181C00">
        <w:rPr>
          <w:rFonts w:ascii="Verdana" w:hAnsi="Verdana" w:cs="Calibri"/>
          <w:sz w:val="20"/>
          <w:szCs w:val="20"/>
        </w:rPr>
        <w:t xml:space="preserve">nuevamente </w:t>
      </w:r>
      <w:r w:rsidR="00F51AEF">
        <w:rPr>
          <w:rFonts w:ascii="Verdana" w:hAnsi="Verdana" w:cs="Calibri"/>
          <w:sz w:val="20"/>
          <w:szCs w:val="20"/>
        </w:rPr>
        <w:t>la definición de información que establece la propia ley</w:t>
      </w:r>
      <w:r>
        <w:rPr>
          <w:rFonts w:ascii="Verdana" w:hAnsi="Verdana" w:cs="Calibri"/>
          <w:sz w:val="20"/>
          <w:szCs w:val="20"/>
        </w:rPr>
        <w:t>.</w:t>
      </w:r>
      <w:r w:rsidR="00FC3E20">
        <w:rPr>
          <w:rFonts w:ascii="Verdana" w:hAnsi="Verdana" w:cs="Calibri"/>
          <w:sz w:val="20"/>
          <w:szCs w:val="20"/>
        </w:rPr>
        <w:t xml:space="preserve"> </w:t>
      </w:r>
    </w:p>
    <w:p w:rsidR="00FC3E20"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8</w:t>
      </w:r>
      <w:r w:rsidR="005A600B">
        <w:rPr>
          <w:rFonts w:ascii="Verdana" w:hAnsi="Verdana"/>
          <w:i/>
          <w:color w:val="C00000"/>
          <w:sz w:val="20"/>
          <w:szCs w:val="20"/>
        </w:rPr>
        <w:t>: El parlamento debería matizar cu</w:t>
      </w:r>
      <w:r w:rsidR="00181C00">
        <w:rPr>
          <w:rFonts w:ascii="Verdana" w:hAnsi="Verdana"/>
          <w:i/>
          <w:color w:val="C00000"/>
          <w:sz w:val="20"/>
          <w:szCs w:val="20"/>
        </w:rPr>
        <w:t>a</w:t>
      </w:r>
      <w:r w:rsidR="005A600B">
        <w:rPr>
          <w:rFonts w:ascii="Verdana" w:hAnsi="Verdana"/>
          <w:i/>
          <w:color w:val="C00000"/>
          <w:sz w:val="20"/>
          <w:szCs w:val="20"/>
        </w:rPr>
        <w:t>ndo caducan l</w:t>
      </w:r>
      <w:r>
        <w:rPr>
          <w:rFonts w:ascii="Verdana" w:hAnsi="Verdana"/>
          <w:i/>
          <w:color w:val="C00000"/>
          <w:sz w:val="20"/>
          <w:szCs w:val="20"/>
        </w:rPr>
        <w:t>as denegaciones de información.</w:t>
      </w:r>
      <w:r w:rsidR="005A600B">
        <w:rPr>
          <w:rFonts w:ascii="Verdana" w:hAnsi="Verdana"/>
          <w:i/>
          <w:color w:val="C00000"/>
          <w:sz w:val="20"/>
          <w:szCs w:val="20"/>
        </w:rPr>
        <w:t xml:space="preserve"> </w:t>
      </w:r>
    </w:p>
    <w:p w:rsidR="001D3438"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9: El Parlamento debería eliminar las exclusiones de tipos de información d</w:t>
      </w:r>
      <w:r w:rsidR="00FC3E20">
        <w:rPr>
          <w:rFonts w:ascii="Verdana" w:hAnsi="Verdana"/>
          <w:i/>
          <w:color w:val="C00000"/>
          <w:sz w:val="20"/>
          <w:szCs w:val="20"/>
        </w:rPr>
        <w:t>el artículo 15</w:t>
      </w:r>
      <w:r w:rsidR="001143E9">
        <w:rPr>
          <w:rFonts w:ascii="Verdana" w:hAnsi="Verdana"/>
          <w:i/>
          <w:color w:val="C00000"/>
          <w:sz w:val="20"/>
          <w:szCs w:val="20"/>
        </w:rPr>
        <w:t xml:space="preserve"> que contradicen los estándares internacionales en la materia.</w:t>
      </w:r>
    </w:p>
    <w:p w:rsidR="001D3438" w:rsidRDefault="005A600B" w:rsidP="002A1C82">
      <w:r>
        <w:rPr>
          <w:rFonts w:ascii="Verdana" w:hAnsi="Verdana" w:cs="Calibri"/>
          <w:b/>
          <w:sz w:val="20"/>
          <w:szCs w:val="20"/>
          <w:u w:val="single"/>
        </w:rPr>
        <w:t>Problemas en el proceso de solicitud de información:</w:t>
      </w:r>
      <w:r>
        <w:rPr>
          <w:rFonts w:ascii="Verdana" w:hAnsi="Verdana" w:cs="Calibri"/>
          <w:sz w:val="20"/>
          <w:szCs w:val="20"/>
        </w:rPr>
        <w:t xml:space="preserve"> </w:t>
      </w:r>
      <w:r w:rsidR="00FC3E20">
        <w:rPr>
          <w:rFonts w:ascii="Verdana" w:hAnsi="Verdana" w:cs="Calibri"/>
          <w:sz w:val="20"/>
          <w:szCs w:val="20"/>
        </w:rPr>
        <w:t>Lo</w:t>
      </w:r>
      <w:r w:rsidR="00F51AEF">
        <w:rPr>
          <w:rFonts w:ascii="Verdana" w:hAnsi="Verdana" w:cs="Calibri"/>
          <w:sz w:val="20"/>
          <w:szCs w:val="20"/>
        </w:rPr>
        <w:t>s estándares internacionales sobre acceso a la información establecen</w:t>
      </w:r>
      <w:r w:rsidR="00181C00">
        <w:rPr>
          <w:rFonts w:ascii="Verdana" w:hAnsi="Verdana" w:cs="Calibri"/>
          <w:sz w:val="20"/>
          <w:szCs w:val="20"/>
        </w:rPr>
        <w:t>,</w:t>
      </w:r>
      <w:r w:rsidR="00F51AEF">
        <w:rPr>
          <w:rFonts w:ascii="Verdana" w:hAnsi="Verdana" w:cs="Calibri"/>
          <w:sz w:val="20"/>
          <w:szCs w:val="20"/>
        </w:rPr>
        <w:t xml:space="preserve"> como uno de los principios fundamentales del derecho de acceso</w:t>
      </w:r>
      <w:r w:rsidR="00181C00">
        <w:rPr>
          <w:rFonts w:ascii="Verdana" w:hAnsi="Verdana" w:cs="Calibri"/>
          <w:sz w:val="20"/>
          <w:szCs w:val="20"/>
        </w:rPr>
        <w:t>,</w:t>
      </w:r>
      <w:r w:rsidR="00F51AEF">
        <w:rPr>
          <w:rFonts w:ascii="Verdana" w:hAnsi="Verdana" w:cs="Calibri"/>
          <w:sz w:val="20"/>
          <w:szCs w:val="20"/>
        </w:rPr>
        <w:t xml:space="preserve"> que las solicitudes no deban ser motivadas y llaman a los países a que eso quede claro en sus legislaciones de acceso.</w:t>
      </w:r>
    </w:p>
    <w:p w:rsidR="001D3438" w:rsidRDefault="00F51AEF" w:rsidP="002A1C82">
      <w:pPr>
        <w:rPr>
          <w:rFonts w:ascii="Verdana" w:hAnsi="Verdana" w:cs="Calibri"/>
          <w:sz w:val="20"/>
          <w:szCs w:val="20"/>
        </w:rPr>
      </w:pPr>
      <w:r>
        <w:rPr>
          <w:rFonts w:ascii="Verdana" w:hAnsi="Verdana" w:cs="Calibri"/>
          <w:sz w:val="20"/>
          <w:szCs w:val="20"/>
        </w:rPr>
        <w:t>Este Proyecto de Ley no es del todo claro en este aspecto</w:t>
      </w:r>
      <w:r w:rsidR="00181C00">
        <w:rPr>
          <w:rFonts w:ascii="Verdana" w:hAnsi="Verdana" w:cs="Calibri"/>
          <w:sz w:val="20"/>
          <w:szCs w:val="20"/>
        </w:rPr>
        <w:t>,</w:t>
      </w:r>
      <w:r>
        <w:rPr>
          <w:rFonts w:ascii="Verdana" w:hAnsi="Verdana" w:cs="Calibri"/>
          <w:sz w:val="20"/>
          <w:szCs w:val="20"/>
        </w:rPr>
        <w:t xml:space="preserve"> ya que en su artículo</w:t>
      </w:r>
      <w:r w:rsidR="005A600B">
        <w:rPr>
          <w:rFonts w:ascii="Verdana" w:hAnsi="Verdana" w:cs="Calibri"/>
          <w:sz w:val="20"/>
          <w:szCs w:val="20"/>
        </w:rPr>
        <w:t xml:space="preserve"> 14.3 establece que no será obligatorio incluir en la solicitud los motivos por los que se solicita la información</w:t>
      </w:r>
      <w:r w:rsidR="00181C00">
        <w:rPr>
          <w:rFonts w:ascii="Verdana" w:hAnsi="Verdana" w:cs="Calibri"/>
          <w:sz w:val="20"/>
          <w:szCs w:val="20"/>
        </w:rPr>
        <w:t>. C</w:t>
      </w:r>
      <w:r w:rsidR="005A600B">
        <w:rPr>
          <w:rFonts w:ascii="Verdana" w:hAnsi="Verdana" w:cs="Calibri"/>
          <w:sz w:val="20"/>
          <w:szCs w:val="20"/>
        </w:rPr>
        <w:t xml:space="preserve">omienza </w:t>
      </w:r>
      <w:r w:rsidR="004A2A3B">
        <w:rPr>
          <w:rFonts w:ascii="Verdana" w:hAnsi="Verdana" w:cs="Calibri"/>
          <w:sz w:val="20"/>
          <w:szCs w:val="20"/>
        </w:rPr>
        <w:t>abriendo la posibilidad a que se añadan</w:t>
      </w:r>
      <w:r w:rsidR="005A600B">
        <w:rPr>
          <w:rFonts w:ascii="Verdana" w:hAnsi="Verdana" w:cs="Calibri"/>
          <w:sz w:val="20"/>
          <w:szCs w:val="20"/>
        </w:rPr>
        <w:t xml:space="preserve"> los motivos y que se tendrán en cuenta. Debería eliminarse esta última mención ya que en ningún caso los motivos personales para conocer una información deberían ser relevantes a la hora de decidir si la información solicitada puede o no puede ser publicada</w:t>
      </w:r>
      <w:r w:rsidR="00181C00">
        <w:rPr>
          <w:rFonts w:ascii="Verdana" w:hAnsi="Verdana" w:cs="Calibri"/>
          <w:sz w:val="20"/>
          <w:szCs w:val="20"/>
        </w:rPr>
        <w:t>. E</w:t>
      </w:r>
      <w:r w:rsidR="005A600B">
        <w:rPr>
          <w:rFonts w:ascii="Verdana" w:hAnsi="Verdana" w:cs="Calibri"/>
          <w:sz w:val="20"/>
          <w:szCs w:val="20"/>
        </w:rPr>
        <w:t>sto dependerá únicamente de si la información perjudica o no otro interés legítimo</w:t>
      </w:r>
      <w:r w:rsidR="001143E9">
        <w:rPr>
          <w:rStyle w:val="Refdenotaalpie"/>
          <w:rFonts w:ascii="Verdana" w:hAnsi="Verdana" w:cs="Calibri"/>
          <w:sz w:val="20"/>
          <w:szCs w:val="20"/>
        </w:rPr>
        <w:footnoteReference w:id="7"/>
      </w:r>
      <w:r w:rsidR="005A600B">
        <w:rPr>
          <w:rFonts w:ascii="Verdana" w:hAnsi="Verdana" w:cs="Calibri"/>
          <w:sz w:val="20"/>
          <w:szCs w:val="20"/>
        </w:rPr>
        <w:t>.</w:t>
      </w:r>
    </w:p>
    <w:p w:rsidR="00F51AEF" w:rsidRPr="00F51AEF"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11: El parlamento debería eliminar del artículo 14 la mención a la posibilidad de exponer las razones por las que se solicita la información</w:t>
      </w:r>
      <w:r w:rsidR="00181C00">
        <w:rPr>
          <w:rFonts w:ascii="Verdana" w:hAnsi="Verdana"/>
          <w:i/>
          <w:color w:val="C00000"/>
          <w:sz w:val="20"/>
          <w:szCs w:val="20"/>
        </w:rPr>
        <w:t>.</w:t>
      </w:r>
    </w:p>
    <w:p w:rsidR="001D3438" w:rsidRDefault="00FC3E20" w:rsidP="002A1C82">
      <w:pPr>
        <w:rPr>
          <w:rFonts w:ascii="Verdana" w:hAnsi="Verdana" w:cs="Calibri"/>
          <w:sz w:val="20"/>
          <w:szCs w:val="20"/>
        </w:rPr>
      </w:pPr>
      <w:r w:rsidRPr="00FC3E20">
        <w:rPr>
          <w:rFonts w:ascii="Verdana" w:hAnsi="Verdana" w:cs="Calibri"/>
          <w:b/>
          <w:sz w:val="20"/>
          <w:szCs w:val="20"/>
          <w:u w:val="single"/>
        </w:rPr>
        <w:lastRenderedPageBreak/>
        <w:t xml:space="preserve">Responsables de </w:t>
      </w:r>
      <w:r w:rsidR="00F51AEF" w:rsidRPr="00FC3E20">
        <w:rPr>
          <w:rFonts w:ascii="Verdana" w:hAnsi="Verdana" w:cs="Calibri"/>
          <w:b/>
          <w:sz w:val="20"/>
          <w:szCs w:val="20"/>
          <w:u w:val="single"/>
        </w:rPr>
        <w:t>información</w:t>
      </w:r>
      <w:r>
        <w:rPr>
          <w:rFonts w:ascii="Verdana" w:hAnsi="Verdana" w:cs="Calibri"/>
          <w:sz w:val="20"/>
          <w:szCs w:val="20"/>
        </w:rPr>
        <w:t xml:space="preserve">: </w:t>
      </w:r>
      <w:r w:rsidR="001143E9">
        <w:rPr>
          <w:rFonts w:ascii="Verdana" w:hAnsi="Verdana" w:cs="Calibri"/>
          <w:sz w:val="20"/>
          <w:szCs w:val="20"/>
        </w:rPr>
        <w:t>E</w:t>
      </w:r>
      <w:r w:rsidR="00F51AEF">
        <w:rPr>
          <w:rFonts w:ascii="Verdana" w:hAnsi="Verdana" w:cs="Calibri"/>
          <w:sz w:val="20"/>
          <w:szCs w:val="20"/>
        </w:rPr>
        <w:t>ste Proyecto de Ley</w:t>
      </w:r>
      <w:r w:rsidR="005A600B">
        <w:rPr>
          <w:rFonts w:ascii="Verdana" w:hAnsi="Verdana" w:cs="Calibri"/>
          <w:sz w:val="20"/>
          <w:szCs w:val="20"/>
        </w:rPr>
        <w:t xml:space="preserve"> establece la obligación de designar un responsable de acceso a la información s</w:t>
      </w:r>
      <w:r w:rsidR="00181C00">
        <w:rPr>
          <w:rFonts w:ascii="Verdana" w:hAnsi="Verdana" w:cs="Calibri"/>
          <w:sz w:val="20"/>
          <w:szCs w:val="20"/>
        </w:rPr>
        <w:t>ó</w:t>
      </w:r>
      <w:r w:rsidR="005A600B">
        <w:rPr>
          <w:rFonts w:ascii="Verdana" w:hAnsi="Verdana" w:cs="Calibri"/>
          <w:sz w:val="20"/>
          <w:szCs w:val="20"/>
        </w:rPr>
        <w:t>lo para la Administración General del Estado</w:t>
      </w:r>
      <w:r w:rsidR="00181C00">
        <w:rPr>
          <w:rFonts w:ascii="Verdana" w:hAnsi="Verdana" w:cs="Calibri"/>
          <w:sz w:val="20"/>
          <w:szCs w:val="20"/>
        </w:rPr>
        <w:t>. E</w:t>
      </w:r>
      <w:r w:rsidR="005A600B">
        <w:rPr>
          <w:rFonts w:ascii="Verdana" w:hAnsi="Verdana" w:cs="Calibri"/>
          <w:sz w:val="20"/>
          <w:szCs w:val="20"/>
        </w:rPr>
        <w:t>sta figura debería existir en todas las instituciones públicas para asegurar las mismas garantías de acceso en cualquier institución pública.</w:t>
      </w:r>
    </w:p>
    <w:p w:rsidR="001D3438"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 xml:space="preserve">Recomendación 12: El Parlamento debería </w:t>
      </w:r>
      <w:r w:rsidR="005A600B">
        <w:rPr>
          <w:rFonts w:ascii="Verdana" w:hAnsi="Verdana"/>
          <w:i/>
          <w:color w:val="C00000"/>
          <w:sz w:val="20"/>
          <w:szCs w:val="20"/>
        </w:rPr>
        <w:t xml:space="preserve">hacer obligatorio </w:t>
      </w:r>
      <w:r>
        <w:rPr>
          <w:rFonts w:ascii="Verdana" w:hAnsi="Verdana"/>
          <w:i/>
          <w:color w:val="C00000"/>
          <w:sz w:val="20"/>
          <w:szCs w:val="20"/>
        </w:rPr>
        <w:t xml:space="preserve">por ley </w:t>
      </w:r>
      <w:r w:rsidR="005A600B">
        <w:rPr>
          <w:rFonts w:ascii="Verdana" w:hAnsi="Verdana"/>
          <w:i/>
          <w:color w:val="C00000"/>
          <w:sz w:val="20"/>
          <w:szCs w:val="20"/>
        </w:rPr>
        <w:t>para todas las instituciones públicas nombrar un responsable de acceso donde poder dirigir las solicitudes de acceso y encargado de asegurar el cumplimiento de las obligaciones de publicación proactiva de información.</w:t>
      </w:r>
    </w:p>
    <w:p w:rsidR="00816D36" w:rsidRDefault="005A600B" w:rsidP="002A1C82">
      <w:pPr>
        <w:rPr>
          <w:rFonts w:ascii="Verdana" w:eastAsia="Times New Roman" w:hAnsi="Verdana" w:cs="Calibri"/>
          <w:sz w:val="20"/>
          <w:szCs w:val="20"/>
          <w:lang w:eastAsia="es-ES"/>
        </w:rPr>
      </w:pPr>
      <w:r>
        <w:rPr>
          <w:rFonts w:ascii="Verdana" w:eastAsia="Times New Roman" w:hAnsi="Verdana" w:cs="Calibri"/>
          <w:b/>
          <w:sz w:val="20"/>
          <w:szCs w:val="20"/>
          <w:u w:val="single"/>
          <w:lang w:eastAsia="es-ES"/>
        </w:rPr>
        <w:t>Silencio administrativo negativo:</w:t>
      </w:r>
      <w:r>
        <w:rPr>
          <w:rFonts w:ascii="Verdana" w:eastAsia="Times New Roman" w:hAnsi="Verdana" w:cs="Calibri"/>
          <w:sz w:val="20"/>
          <w:szCs w:val="20"/>
          <w:lang w:eastAsia="es-ES"/>
        </w:rPr>
        <w:t xml:space="preserve"> Si transcurre el plazo para contestar y la institución a la que se ha solicitado la información no contesta, se entiende denegada </w:t>
      </w:r>
      <w:r w:rsidR="004A2A3B">
        <w:rPr>
          <w:rFonts w:ascii="Verdana" w:eastAsia="Times New Roman" w:hAnsi="Verdana" w:cs="Calibri"/>
          <w:sz w:val="20"/>
          <w:szCs w:val="20"/>
          <w:lang w:eastAsia="es-ES"/>
        </w:rPr>
        <w:t xml:space="preserve">la </w:t>
      </w:r>
      <w:r>
        <w:rPr>
          <w:rFonts w:ascii="Verdana" w:eastAsia="Times New Roman" w:hAnsi="Verdana" w:cs="Calibri"/>
          <w:sz w:val="20"/>
          <w:szCs w:val="20"/>
          <w:lang w:eastAsia="es-ES"/>
        </w:rPr>
        <w:t>solicitud</w:t>
      </w:r>
      <w:r w:rsidR="00944EB0">
        <w:rPr>
          <w:rFonts w:ascii="Verdana" w:eastAsia="Times New Roman" w:hAnsi="Verdana" w:cs="Calibri"/>
          <w:sz w:val="20"/>
          <w:szCs w:val="20"/>
          <w:lang w:eastAsia="es-ES"/>
        </w:rPr>
        <w:t>. E</w:t>
      </w:r>
      <w:r>
        <w:rPr>
          <w:rFonts w:ascii="Verdana" w:eastAsia="Times New Roman" w:hAnsi="Verdana" w:cs="Calibri"/>
          <w:sz w:val="20"/>
          <w:szCs w:val="20"/>
          <w:lang w:eastAsia="es-ES"/>
        </w:rPr>
        <w:t>sto atenta directamente contra los principios fundamentales del derecho de acceso a la información</w:t>
      </w:r>
      <w:r w:rsidR="00944EB0">
        <w:rPr>
          <w:rFonts w:ascii="Verdana" w:eastAsia="Times New Roman" w:hAnsi="Verdana" w:cs="Calibri"/>
          <w:sz w:val="20"/>
          <w:szCs w:val="20"/>
          <w:lang w:eastAsia="es-ES"/>
        </w:rPr>
        <w:t>,</w:t>
      </w:r>
      <w:r>
        <w:rPr>
          <w:rFonts w:ascii="Verdana" w:eastAsia="Times New Roman" w:hAnsi="Verdana" w:cs="Calibri"/>
          <w:sz w:val="20"/>
          <w:szCs w:val="20"/>
          <w:lang w:eastAsia="es-ES"/>
        </w:rPr>
        <w:t xml:space="preserve"> ya que las denegac</w:t>
      </w:r>
      <w:r w:rsidR="00816D36">
        <w:rPr>
          <w:rFonts w:ascii="Verdana" w:eastAsia="Times New Roman" w:hAnsi="Verdana" w:cs="Calibri"/>
          <w:sz w:val="20"/>
          <w:szCs w:val="20"/>
          <w:lang w:eastAsia="es-ES"/>
        </w:rPr>
        <w:t>iones totales o parciales debería</w:t>
      </w:r>
      <w:r>
        <w:rPr>
          <w:rFonts w:ascii="Verdana" w:eastAsia="Times New Roman" w:hAnsi="Verdana" w:cs="Calibri"/>
          <w:sz w:val="20"/>
          <w:szCs w:val="20"/>
          <w:lang w:eastAsia="es-ES"/>
        </w:rPr>
        <w:t xml:space="preserve">n ser </w:t>
      </w:r>
      <w:r w:rsidR="00944EB0">
        <w:rPr>
          <w:rFonts w:ascii="Verdana" w:eastAsia="Times New Roman" w:hAnsi="Verdana" w:cs="Calibri"/>
          <w:sz w:val="20"/>
          <w:szCs w:val="20"/>
          <w:lang w:eastAsia="es-ES"/>
        </w:rPr>
        <w:t xml:space="preserve">siempre </w:t>
      </w:r>
      <w:r>
        <w:rPr>
          <w:rFonts w:ascii="Verdana" w:eastAsia="Times New Roman" w:hAnsi="Verdana" w:cs="Calibri"/>
          <w:sz w:val="20"/>
          <w:szCs w:val="20"/>
          <w:lang w:eastAsia="es-ES"/>
        </w:rPr>
        <w:t xml:space="preserve">motivadas. </w:t>
      </w:r>
    </w:p>
    <w:p w:rsidR="001D3438" w:rsidRDefault="005A600B" w:rsidP="002A1C82">
      <w:r>
        <w:rPr>
          <w:rFonts w:ascii="Verdana" w:eastAsia="Times New Roman" w:hAnsi="Verdana" w:cs="Calibri"/>
          <w:sz w:val="20"/>
          <w:szCs w:val="20"/>
          <w:lang w:eastAsia="es-ES"/>
        </w:rPr>
        <w:t>Ten</w:t>
      </w:r>
      <w:r w:rsidR="00FC3E20">
        <w:rPr>
          <w:rFonts w:ascii="Verdana" w:eastAsia="Times New Roman" w:hAnsi="Verdana" w:cs="Calibri"/>
          <w:sz w:val="20"/>
          <w:szCs w:val="20"/>
          <w:lang w:eastAsia="es-ES"/>
        </w:rPr>
        <w:t>iendo en cuenta que en España</w:t>
      </w:r>
      <w:r w:rsidR="00944EB0">
        <w:rPr>
          <w:rFonts w:ascii="Verdana" w:eastAsia="Times New Roman" w:hAnsi="Verdana" w:cs="Calibri"/>
          <w:sz w:val="20"/>
          <w:szCs w:val="20"/>
          <w:lang w:eastAsia="es-ES"/>
        </w:rPr>
        <w:t>,</w:t>
      </w:r>
      <w:r w:rsidR="00FC3E20">
        <w:rPr>
          <w:rFonts w:ascii="Verdana" w:eastAsia="Times New Roman" w:hAnsi="Verdana" w:cs="Calibri"/>
          <w:sz w:val="20"/>
          <w:szCs w:val="20"/>
          <w:lang w:eastAsia="es-ES"/>
        </w:rPr>
        <w:t xml:space="preserve"> de media</w:t>
      </w:r>
      <w:r w:rsidR="00944EB0">
        <w:rPr>
          <w:rFonts w:ascii="Verdana" w:eastAsia="Times New Roman" w:hAnsi="Verdana" w:cs="Calibri"/>
          <w:sz w:val="20"/>
          <w:szCs w:val="20"/>
          <w:lang w:eastAsia="es-ES"/>
        </w:rPr>
        <w:t>,</w:t>
      </w:r>
      <w:r w:rsidR="00FC3E20">
        <w:rPr>
          <w:rFonts w:ascii="Verdana" w:eastAsia="Times New Roman" w:hAnsi="Verdana" w:cs="Calibri"/>
          <w:sz w:val="20"/>
          <w:szCs w:val="20"/>
          <w:lang w:eastAsia="es-ES"/>
        </w:rPr>
        <w:t xml:space="preserve"> </w:t>
      </w:r>
      <w:r w:rsidR="001143E9">
        <w:rPr>
          <w:rFonts w:ascii="Verdana" w:eastAsia="Times New Roman" w:hAnsi="Verdana" w:cs="Calibri"/>
          <w:sz w:val="20"/>
          <w:szCs w:val="20"/>
          <w:lang w:eastAsia="es-ES"/>
        </w:rPr>
        <w:t>más del</w:t>
      </w:r>
      <w:r>
        <w:rPr>
          <w:rFonts w:ascii="Verdana" w:eastAsia="Times New Roman" w:hAnsi="Verdana" w:cs="Calibri"/>
          <w:sz w:val="20"/>
          <w:szCs w:val="20"/>
          <w:lang w:eastAsia="es-ES"/>
        </w:rPr>
        <w:t xml:space="preserve"> 50%</w:t>
      </w:r>
      <w:r w:rsidR="001143E9">
        <w:rPr>
          <w:rStyle w:val="Refdenotaalpie"/>
          <w:rFonts w:ascii="Verdana" w:eastAsia="Times New Roman" w:hAnsi="Verdana" w:cs="Calibri"/>
          <w:sz w:val="20"/>
          <w:szCs w:val="20"/>
          <w:lang w:eastAsia="es-ES"/>
        </w:rPr>
        <w:footnoteReference w:id="8"/>
      </w:r>
      <w:r>
        <w:rPr>
          <w:rFonts w:ascii="Verdana" w:eastAsia="Times New Roman" w:hAnsi="Verdana" w:cs="Calibri"/>
          <w:sz w:val="20"/>
          <w:szCs w:val="20"/>
          <w:lang w:eastAsia="es-ES"/>
        </w:rPr>
        <w:t xml:space="preserve"> de las solicitudes quedan sin respuesta, establecer un silencio negativo tendría consecuencias especialmente negativas en la implementación de la ley de transparencia y harían este proceso más lento y menos eficiente. </w:t>
      </w:r>
    </w:p>
    <w:p w:rsidR="001D3438"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13</w:t>
      </w:r>
      <w:r w:rsidR="005A600B">
        <w:rPr>
          <w:rFonts w:ascii="Verdana" w:hAnsi="Verdana"/>
          <w:i/>
          <w:color w:val="C00000"/>
          <w:sz w:val="20"/>
          <w:szCs w:val="20"/>
        </w:rPr>
        <w:t xml:space="preserve">: El parlamento debería establecer que el silencio administrativo será positivo para los casos de solicitudes de información. </w:t>
      </w:r>
    </w:p>
    <w:p w:rsidR="001D3438" w:rsidRDefault="005A600B" w:rsidP="002A1C82">
      <w:r>
        <w:rPr>
          <w:rFonts w:ascii="Verdana" w:eastAsia="Times New Roman" w:hAnsi="Verdana" w:cs="Calibri"/>
          <w:b/>
          <w:sz w:val="20"/>
          <w:szCs w:val="20"/>
          <w:u w:val="single"/>
          <w:lang w:eastAsia="es-ES"/>
        </w:rPr>
        <w:t>Sistema de recursos débil e insuficiente:</w:t>
      </w:r>
      <w:r>
        <w:rPr>
          <w:rFonts w:ascii="Verdana" w:eastAsia="Times New Roman" w:hAnsi="Verdana" w:cs="Calibri"/>
          <w:sz w:val="20"/>
          <w:szCs w:val="20"/>
          <w:lang w:eastAsia="es-ES"/>
        </w:rPr>
        <w:t xml:space="preserve"> El proyecto de ley reconoce la posibilidad de recurrir las decisiones sobre acceso a </w:t>
      </w:r>
      <w:r w:rsidR="004A2A3B">
        <w:rPr>
          <w:rFonts w:ascii="Verdana" w:eastAsia="Times New Roman" w:hAnsi="Verdana" w:cs="Calibri"/>
          <w:sz w:val="20"/>
          <w:szCs w:val="20"/>
          <w:lang w:eastAsia="es-ES"/>
        </w:rPr>
        <w:t xml:space="preserve">la </w:t>
      </w:r>
      <w:r>
        <w:rPr>
          <w:rFonts w:ascii="Verdana" w:eastAsia="Times New Roman" w:hAnsi="Verdana" w:cs="Calibri"/>
          <w:sz w:val="20"/>
          <w:szCs w:val="20"/>
          <w:lang w:eastAsia="es-ES"/>
        </w:rPr>
        <w:t>información ante</w:t>
      </w:r>
      <w:r w:rsidR="004A2A3B">
        <w:rPr>
          <w:rFonts w:ascii="Verdana" w:eastAsia="Times New Roman" w:hAnsi="Verdana" w:cs="Calibri"/>
          <w:sz w:val="20"/>
          <w:szCs w:val="20"/>
          <w:lang w:eastAsia="es-ES"/>
        </w:rPr>
        <w:t xml:space="preserve"> la</w:t>
      </w:r>
      <w:r>
        <w:rPr>
          <w:rFonts w:ascii="Verdana" w:eastAsia="Times New Roman" w:hAnsi="Verdana" w:cs="Calibri"/>
          <w:sz w:val="20"/>
          <w:szCs w:val="20"/>
          <w:lang w:eastAsia="es-ES"/>
        </w:rPr>
        <w:t xml:space="preserve"> </w:t>
      </w:r>
      <w:r>
        <w:rPr>
          <w:rFonts w:ascii="Verdana" w:eastAsia="Times New Roman" w:hAnsi="Verdana" w:cs="Calibri"/>
          <w:bCs/>
          <w:sz w:val="20"/>
          <w:szCs w:val="20"/>
          <w:lang w:eastAsia="es-ES"/>
        </w:rPr>
        <w:t>Agencia Estatal de Transparencia, Evaluación de las Políticas Públicas y de la Calidad de los Servicios</w:t>
      </w:r>
      <w:r>
        <w:rPr>
          <w:rFonts w:ascii="Verdana" w:eastAsia="Times New Roman" w:hAnsi="Verdana" w:cs="Calibri"/>
          <w:sz w:val="20"/>
          <w:szCs w:val="20"/>
          <w:lang w:eastAsia="es-ES"/>
        </w:rPr>
        <w:t>, pero este organismo no resulta suficiente para proteger el derecho de acceso a la información pública por las siguientes razones:</w:t>
      </w:r>
    </w:p>
    <w:p w:rsidR="001D3438" w:rsidRDefault="005A600B" w:rsidP="002A1C82">
      <w:pPr>
        <w:pStyle w:val="Prrafodelista"/>
        <w:numPr>
          <w:ilvl w:val="0"/>
          <w:numId w:val="2"/>
        </w:numPr>
        <w:ind w:left="426" w:hanging="426"/>
        <w:rPr>
          <w:rFonts w:ascii="Verdana" w:eastAsia="Times New Roman" w:hAnsi="Verdana" w:cs="Calibri"/>
          <w:sz w:val="20"/>
          <w:szCs w:val="20"/>
          <w:lang w:eastAsia="es-ES"/>
        </w:rPr>
      </w:pPr>
      <w:r>
        <w:rPr>
          <w:rFonts w:ascii="Verdana" w:eastAsia="Times New Roman" w:hAnsi="Verdana" w:cs="Calibri"/>
          <w:sz w:val="20"/>
          <w:szCs w:val="20"/>
          <w:lang w:eastAsia="es-ES"/>
        </w:rPr>
        <w:t>Falta de independencia: Este organismo depende del Ministerio de Hacienda</w:t>
      </w:r>
      <w:r w:rsidR="00944EB0">
        <w:rPr>
          <w:rFonts w:ascii="Verdana" w:eastAsia="Times New Roman" w:hAnsi="Verdana" w:cs="Calibri"/>
          <w:sz w:val="20"/>
          <w:szCs w:val="20"/>
          <w:lang w:eastAsia="es-ES"/>
        </w:rPr>
        <w:t>. E</w:t>
      </w:r>
      <w:r>
        <w:rPr>
          <w:rFonts w:ascii="Verdana" w:eastAsia="Times New Roman" w:hAnsi="Verdana" w:cs="Calibri"/>
          <w:sz w:val="20"/>
          <w:szCs w:val="20"/>
          <w:lang w:eastAsia="es-ES"/>
        </w:rPr>
        <w:t xml:space="preserve">sto implica que la administración sería juez y parte a la hora de conocer sobre los conflictos que se recurran. </w:t>
      </w:r>
    </w:p>
    <w:p w:rsidR="001D3438" w:rsidRDefault="005A600B" w:rsidP="002A1C82">
      <w:pPr>
        <w:pStyle w:val="Prrafodelista"/>
        <w:numPr>
          <w:ilvl w:val="0"/>
          <w:numId w:val="2"/>
        </w:numPr>
        <w:ind w:left="426" w:hanging="426"/>
        <w:rPr>
          <w:rFonts w:ascii="Verdana" w:eastAsia="Times New Roman" w:hAnsi="Verdana" w:cs="Calibri"/>
          <w:sz w:val="20"/>
          <w:szCs w:val="20"/>
          <w:lang w:eastAsia="es-ES"/>
        </w:rPr>
      </w:pPr>
      <w:r>
        <w:rPr>
          <w:rFonts w:ascii="Verdana" w:eastAsia="Times New Roman" w:hAnsi="Verdana" w:cs="Calibri"/>
          <w:sz w:val="20"/>
          <w:szCs w:val="20"/>
          <w:lang w:eastAsia="es-ES"/>
        </w:rPr>
        <w:t xml:space="preserve">No es aplicable ante todas las denegaciones: Este organismo no podrá conocer de los conflictos relacionados con las denegaciones de información por parte de las instituciones del </w:t>
      </w:r>
      <w:r w:rsidR="004A2A3B">
        <w:rPr>
          <w:rFonts w:ascii="Verdana" w:eastAsia="Times New Roman" w:hAnsi="Verdana" w:cs="Calibri"/>
          <w:sz w:val="20"/>
          <w:szCs w:val="20"/>
          <w:lang w:eastAsia="es-ES"/>
        </w:rPr>
        <w:t xml:space="preserve">art. </w:t>
      </w:r>
      <w:r>
        <w:rPr>
          <w:rFonts w:ascii="Verdana" w:eastAsia="Times New Roman" w:hAnsi="Verdana" w:cs="Calibri"/>
          <w:sz w:val="20"/>
          <w:szCs w:val="20"/>
          <w:lang w:eastAsia="es-ES"/>
        </w:rPr>
        <w:t>2.1.f</w:t>
      </w:r>
      <w:r w:rsidR="00944EB0">
        <w:rPr>
          <w:rFonts w:ascii="Verdana" w:eastAsia="Times New Roman" w:hAnsi="Verdana" w:cs="Calibri"/>
          <w:sz w:val="20"/>
          <w:szCs w:val="20"/>
          <w:lang w:eastAsia="es-ES"/>
        </w:rPr>
        <w:t xml:space="preserve">, </w:t>
      </w:r>
      <w:r>
        <w:rPr>
          <w:rFonts w:ascii="Verdana" w:eastAsia="Times New Roman" w:hAnsi="Verdana" w:cs="Calibri"/>
          <w:sz w:val="20"/>
          <w:szCs w:val="20"/>
          <w:lang w:eastAsia="es-ES"/>
        </w:rPr>
        <w:t>entre las que se encuentran el Congreso de los Diputados o el Tribunal de Cuentas</w:t>
      </w:r>
      <w:r w:rsidR="00944EB0">
        <w:rPr>
          <w:rFonts w:ascii="Verdana" w:eastAsia="Times New Roman" w:hAnsi="Verdana" w:cs="Calibri"/>
          <w:sz w:val="20"/>
          <w:szCs w:val="20"/>
          <w:lang w:eastAsia="es-ES"/>
        </w:rPr>
        <w:t>,</w:t>
      </w:r>
      <w:r>
        <w:rPr>
          <w:rFonts w:ascii="Verdana" w:eastAsia="Times New Roman" w:hAnsi="Verdana" w:cs="Calibri"/>
          <w:sz w:val="20"/>
          <w:szCs w:val="20"/>
          <w:lang w:eastAsia="es-ES"/>
        </w:rPr>
        <w:t xml:space="preserve"> entre otros. Tampoco serán recurribles ante esta agencia las decisiones de organismos autonómicos o locales si estos no han celebrado un acuerdo previo con la agencia. Esto genera desigualdades graves en la protección del derecho de acceso.</w:t>
      </w:r>
    </w:p>
    <w:p w:rsidR="001D3438" w:rsidRDefault="00DA6A81" w:rsidP="002A1C82">
      <w:pPr>
        <w:pStyle w:val="Prrafodelista"/>
        <w:numPr>
          <w:ilvl w:val="0"/>
          <w:numId w:val="2"/>
        </w:numPr>
        <w:ind w:left="426" w:hanging="426"/>
        <w:rPr>
          <w:rFonts w:ascii="Verdana" w:eastAsia="Times New Roman" w:hAnsi="Verdana" w:cs="Calibri"/>
          <w:sz w:val="20"/>
          <w:szCs w:val="20"/>
          <w:lang w:eastAsia="es-ES"/>
        </w:rPr>
      </w:pPr>
      <w:r>
        <w:rPr>
          <w:rFonts w:ascii="Verdana" w:eastAsia="Times New Roman" w:hAnsi="Verdana" w:cs="Calibri"/>
          <w:sz w:val="20"/>
          <w:szCs w:val="20"/>
          <w:lang w:eastAsia="es-ES"/>
        </w:rPr>
        <w:t>El proyecto de ley no dice</w:t>
      </w:r>
      <w:r w:rsidR="005A600B">
        <w:rPr>
          <w:rFonts w:ascii="Verdana" w:eastAsia="Times New Roman" w:hAnsi="Verdana" w:cs="Calibri"/>
          <w:sz w:val="20"/>
          <w:szCs w:val="20"/>
          <w:lang w:eastAsia="es-ES"/>
        </w:rPr>
        <w:t xml:space="preserve"> si las decisiones de la Agencia son o no vinculantes y no se define el mandato que tendrá</w:t>
      </w:r>
      <w:r w:rsidR="00944EB0">
        <w:rPr>
          <w:rFonts w:ascii="Verdana" w:eastAsia="Times New Roman" w:hAnsi="Verdana" w:cs="Calibri"/>
          <w:sz w:val="20"/>
          <w:szCs w:val="20"/>
          <w:lang w:eastAsia="es-ES"/>
        </w:rPr>
        <w:t>. N</w:t>
      </w:r>
      <w:r w:rsidR="005A600B">
        <w:rPr>
          <w:rFonts w:ascii="Verdana" w:eastAsia="Times New Roman" w:hAnsi="Verdana" w:cs="Calibri"/>
          <w:sz w:val="20"/>
          <w:szCs w:val="20"/>
          <w:lang w:eastAsia="es-ES"/>
        </w:rPr>
        <w:t>o sabemos si puede obligar a las instituciones a publicar información, si puede consultar la información que las instituciones no quiere publicar…; en definitiva</w:t>
      </w:r>
      <w:r w:rsidR="004A2A3B">
        <w:rPr>
          <w:rFonts w:ascii="Verdana" w:eastAsia="Times New Roman" w:hAnsi="Verdana" w:cs="Calibri"/>
          <w:sz w:val="20"/>
          <w:szCs w:val="20"/>
          <w:lang w:eastAsia="es-ES"/>
        </w:rPr>
        <w:t>,</w:t>
      </w:r>
      <w:r w:rsidR="005A600B">
        <w:rPr>
          <w:rFonts w:ascii="Verdana" w:eastAsia="Times New Roman" w:hAnsi="Verdana" w:cs="Calibri"/>
          <w:sz w:val="20"/>
          <w:szCs w:val="20"/>
          <w:lang w:eastAsia="es-ES"/>
        </w:rPr>
        <w:t xml:space="preserve"> no sabemos si este organismo </w:t>
      </w:r>
      <w:r w:rsidR="005A600B">
        <w:rPr>
          <w:rFonts w:ascii="Verdana" w:eastAsia="Times New Roman" w:hAnsi="Verdana" w:cs="Calibri"/>
          <w:sz w:val="20"/>
          <w:szCs w:val="20"/>
          <w:lang w:eastAsia="es-ES"/>
        </w:rPr>
        <w:lastRenderedPageBreak/>
        <w:t>tendrá el poder y mandato suficiente para velar por el correcto cumplimiento de la ley y asegurar una implementación rápida y eficiente de la misma.</w:t>
      </w:r>
    </w:p>
    <w:p w:rsidR="001D3438" w:rsidRDefault="005A600B" w:rsidP="002A1C82">
      <w:pPr>
        <w:pStyle w:val="Prrafodelista"/>
        <w:numPr>
          <w:ilvl w:val="0"/>
          <w:numId w:val="2"/>
        </w:numPr>
        <w:ind w:left="426" w:hanging="426"/>
        <w:rPr>
          <w:rFonts w:ascii="Verdana" w:eastAsia="Times New Roman" w:hAnsi="Verdana" w:cs="Calibri"/>
          <w:sz w:val="20"/>
          <w:szCs w:val="20"/>
          <w:lang w:eastAsia="es-ES"/>
        </w:rPr>
      </w:pPr>
      <w:r>
        <w:rPr>
          <w:rFonts w:ascii="Verdana" w:eastAsia="Times New Roman" w:hAnsi="Verdana" w:cs="Calibri"/>
          <w:sz w:val="20"/>
          <w:szCs w:val="20"/>
          <w:lang w:eastAsia="es-ES"/>
        </w:rPr>
        <w:t>Silencio administrativo negativo: Doble silencio, ni siquiera el organismo encargado de velar por el correcto cumplimiento de la ley debe cumplir con los principios fundamentales del derecho, esto es simplemente inaceptable.</w:t>
      </w:r>
    </w:p>
    <w:p w:rsidR="001D3438"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14</w:t>
      </w:r>
      <w:r w:rsidR="005A600B">
        <w:rPr>
          <w:rFonts w:ascii="Verdana" w:hAnsi="Verdana"/>
          <w:i/>
          <w:color w:val="C00000"/>
          <w:sz w:val="20"/>
          <w:szCs w:val="20"/>
        </w:rPr>
        <w:t>: El parlamento debería replantear la naturaleza y las funciones del organismo encargado de velar por la protección del derecho de acceso a la información. Este organismo debe ser independiente y contar con el poder y funciones suficientes para implementar de forma rápida y consistente el derecho de acceso a la información en todo el territorio.</w:t>
      </w:r>
    </w:p>
    <w:p w:rsidR="001D3438" w:rsidRDefault="005A600B" w:rsidP="002A1C82">
      <w:pPr>
        <w:pStyle w:val="NormalWeb"/>
        <w:spacing w:before="0" w:after="200" w:line="276" w:lineRule="auto"/>
        <w:jc w:val="both"/>
      </w:pPr>
      <w:r>
        <w:rPr>
          <w:rFonts w:ascii="Verdana" w:hAnsi="Verdana" w:cs="Calibri"/>
          <w:b/>
          <w:sz w:val="20"/>
          <w:szCs w:val="20"/>
          <w:u w:val="single"/>
        </w:rPr>
        <w:t>Falta de sanciones claras:</w:t>
      </w:r>
      <w:r>
        <w:rPr>
          <w:rFonts w:ascii="Verdana" w:hAnsi="Verdana" w:cs="Calibri"/>
          <w:sz w:val="20"/>
          <w:szCs w:val="20"/>
        </w:rPr>
        <w:t xml:space="preserve"> El régimen de sanciones debe mejorarse y ser más específico para la materia que nos ocupa. En concreto</w:t>
      </w:r>
      <w:r w:rsidR="00944EB0">
        <w:rPr>
          <w:rFonts w:ascii="Verdana" w:hAnsi="Verdana" w:cs="Calibri"/>
          <w:sz w:val="20"/>
          <w:szCs w:val="20"/>
        </w:rPr>
        <w:t>,</w:t>
      </w:r>
      <w:r>
        <w:rPr>
          <w:rFonts w:ascii="Verdana" w:hAnsi="Verdana" w:cs="Calibri"/>
          <w:sz w:val="20"/>
          <w:szCs w:val="20"/>
        </w:rPr>
        <w:t xml:space="preserve"> sería recomendable prever las siguientes sanciones:</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 xml:space="preserve">Sanciones a funcionarios que incumplan la ley de acceso </w:t>
      </w:r>
      <w:r w:rsidR="004A2A3B">
        <w:rPr>
          <w:rFonts w:ascii="Verdana" w:hAnsi="Verdana" w:cs="Calibri"/>
          <w:sz w:val="20"/>
          <w:szCs w:val="20"/>
        </w:rPr>
        <w:t xml:space="preserve">a </w:t>
      </w:r>
      <w:r>
        <w:rPr>
          <w:rFonts w:ascii="Verdana" w:hAnsi="Verdana" w:cs="Calibri"/>
          <w:sz w:val="20"/>
          <w:szCs w:val="20"/>
        </w:rPr>
        <w:t>la información pública</w:t>
      </w:r>
      <w:r w:rsidR="00944EB0">
        <w:rPr>
          <w:rFonts w:ascii="Verdana" w:hAnsi="Verdana" w:cs="Calibri"/>
          <w:sz w:val="20"/>
          <w:szCs w:val="20"/>
        </w:rPr>
        <w:t>.</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Sanciones a funcionarios que incumplan reiteradamente la ley de acceso a la información pública</w:t>
      </w:r>
      <w:r w:rsidR="00944EB0">
        <w:rPr>
          <w:rFonts w:ascii="Verdana" w:hAnsi="Verdana" w:cs="Calibri"/>
          <w:sz w:val="20"/>
          <w:szCs w:val="20"/>
        </w:rPr>
        <w:t>.</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 xml:space="preserve">Protección especial </w:t>
      </w:r>
      <w:r w:rsidR="00944EB0">
        <w:rPr>
          <w:rFonts w:ascii="Verdana" w:hAnsi="Verdana" w:cs="Calibri"/>
          <w:sz w:val="20"/>
          <w:szCs w:val="20"/>
        </w:rPr>
        <w:t xml:space="preserve">para </w:t>
      </w:r>
      <w:r>
        <w:rPr>
          <w:rFonts w:ascii="Verdana" w:hAnsi="Verdana" w:cs="Calibri"/>
          <w:sz w:val="20"/>
          <w:szCs w:val="20"/>
        </w:rPr>
        <w:t>aquellos funcionarios que</w:t>
      </w:r>
      <w:r w:rsidR="00944EB0">
        <w:rPr>
          <w:rFonts w:ascii="Verdana" w:hAnsi="Verdana" w:cs="Calibri"/>
          <w:sz w:val="20"/>
          <w:szCs w:val="20"/>
        </w:rPr>
        <w:t>,</w:t>
      </w:r>
      <w:r>
        <w:rPr>
          <w:rFonts w:ascii="Verdana" w:hAnsi="Verdana" w:cs="Calibri"/>
          <w:sz w:val="20"/>
          <w:szCs w:val="20"/>
        </w:rPr>
        <w:t xml:space="preserve"> de buena fe</w:t>
      </w:r>
      <w:r w:rsidR="00944EB0">
        <w:rPr>
          <w:rFonts w:ascii="Verdana" w:hAnsi="Verdana" w:cs="Calibri"/>
          <w:sz w:val="20"/>
          <w:szCs w:val="20"/>
        </w:rPr>
        <w:t>,</w:t>
      </w:r>
      <w:r>
        <w:rPr>
          <w:rFonts w:ascii="Verdana" w:hAnsi="Verdana" w:cs="Calibri"/>
          <w:sz w:val="20"/>
          <w:szCs w:val="20"/>
        </w:rPr>
        <w:t xml:space="preserve"> publiquen información que no debería haber sido </w:t>
      </w:r>
      <w:r w:rsidR="00944EB0">
        <w:rPr>
          <w:rFonts w:ascii="Verdana" w:hAnsi="Verdana" w:cs="Calibri"/>
          <w:sz w:val="20"/>
          <w:szCs w:val="20"/>
        </w:rPr>
        <w:t xml:space="preserve">publicada </w:t>
      </w:r>
      <w:r>
        <w:rPr>
          <w:rFonts w:ascii="Verdana" w:hAnsi="Verdana" w:cs="Calibri"/>
          <w:sz w:val="20"/>
          <w:szCs w:val="20"/>
        </w:rPr>
        <w:t>por afectar a alguna de las excepciones previstas en la ley.</w:t>
      </w:r>
    </w:p>
    <w:p w:rsidR="001D3438" w:rsidRDefault="00F51AEF" w:rsidP="002A1C82">
      <w:pPr>
        <w:pStyle w:val="Prrafodelista"/>
        <w:numPr>
          <w:ilvl w:val="0"/>
          <w:numId w:val="1"/>
        </w:numPr>
        <w:rPr>
          <w:rFonts w:ascii="Verdana" w:hAnsi="Verdana"/>
          <w:i/>
          <w:color w:val="C00000"/>
          <w:sz w:val="20"/>
          <w:szCs w:val="20"/>
        </w:rPr>
      </w:pPr>
      <w:r>
        <w:rPr>
          <w:rFonts w:ascii="Verdana" w:hAnsi="Verdana"/>
          <w:i/>
          <w:color w:val="C00000"/>
          <w:sz w:val="20"/>
          <w:szCs w:val="20"/>
        </w:rPr>
        <w:t>Recomendación 15</w:t>
      </w:r>
      <w:r w:rsidR="005A600B">
        <w:rPr>
          <w:rFonts w:ascii="Verdana" w:hAnsi="Verdana"/>
          <w:i/>
          <w:color w:val="C00000"/>
          <w:sz w:val="20"/>
          <w:szCs w:val="20"/>
        </w:rPr>
        <w:t xml:space="preserve">: El parlamento debería incluir en la ley las sanciones </w:t>
      </w:r>
      <w:r w:rsidR="00DA6A81">
        <w:rPr>
          <w:rFonts w:ascii="Verdana" w:hAnsi="Verdana"/>
          <w:i/>
          <w:color w:val="C00000"/>
          <w:sz w:val="20"/>
          <w:szCs w:val="20"/>
        </w:rPr>
        <w:t xml:space="preserve">y protecciones </w:t>
      </w:r>
      <w:r w:rsidR="005A600B">
        <w:rPr>
          <w:rFonts w:ascii="Verdana" w:hAnsi="Verdana"/>
          <w:i/>
          <w:color w:val="C00000"/>
          <w:sz w:val="20"/>
          <w:szCs w:val="20"/>
        </w:rPr>
        <w:t>que se enumeran en este punto para reforzar el derecho de acceso a la información y asegurar una implementación más rápida.</w:t>
      </w:r>
    </w:p>
    <w:p w:rsidR="001D3438" w:rsidRDefault="005A600B" w:rsidP="002A1C82">
      <w:pPr>
        <w:pStyle w:val="NormalWeb"/>
        <w:spacing w:before="0" w:after="200" w:line="276" w:lineRule="auto"/>
        <w:jc w:val="both"/>
        <w:rPr>
          <w:rFonts w:ascii="Verdana" w:hAnsi="Verdana" w:cs="Calibri"/>
          <w:b/>
          <w:sz w:val="20"/>
          <w:szCs w:val="20"/>
          <w:u w:val="single"/>
        </w:rPr>
      </w:pPr>
      <w:r>
        <w:rPr>
          <w:rFonts w:ascii="Verdana" w:hAnsi="Verdana" w:cs="Calibri"/>
          <w:b/>
          <w:sz w:val="20"/>
          <w:szCs w:val="20"/>
          <w:u w:val="single"/>
        </w:rPr>
        <w:t xml:space="preserve">Falta de previsión de mecanismos de promoción del derecho de acceso a la información: </w:t>
      </w:r>
    </w:p>
    <w:p w:rsidR="00DA6A81" w:rsidRDefault="00816D36" w:rsidP="002A1C82">
      <w:pPr>
        <w:pStyle w:val="NormalWeb"/>
        <w:spacing w:before="0" w:after="200" w:line="276" w:lineRule="auto"/>
        <w:jc w:val="both"/>
        <w:rPr>
          <w:rFonts w:ascii="Verdana" w:hAnsi="Verdana" w:cs="Calibri"/>
          <w:sz w:val="20"/>
          <w:szCs w:val="20"/>
        </w:rPr>
      </w:pPr>
      <w:r>
        <w:rPr>
          <w:rFonts w:ascii="Verdana" w:hAnsi="Verdana" w:cs="Calibri"/>
          <w:sz w:val="20"/>
          <w:szCs w:val="20"/>
        </w:rPr>
        <w:t>Las medidas de prom</w:t>
      </w:r>
      <w:r w:rsidR="00EA4DAA">
        <w:rPr>
          <w:rFonts w:ascii="Verdana" w:hAnsi="Verdana" w:cs="Calibri"/>
          <w:sz w:val="20"/>
          <w:szCs w:val="20"/>
        </w:rPr>
        <w:t>o</w:t>
      </w:r>
      <w:r>
        <w:rPr>
          <w:rFonts w:ascii="Verdana" w:hAnsi="Verdana" w:cs="Calibri"/>
          <w:sz w:val="20"/>
          <w:szCs w:val="20"/>
        </w:rPr>
        <w:t xml:space="preserve">ción son de vital importancia para </w:t>
      </w:r>
      <w:r w:rsidR="00EA4DAA">
        <w:rPr>
          <w:rFonts w:ascii="Verdana" w:hAnsi="Verdana" w:cs="Calibri"/>
          <w:sz w:val="20"/>
          <w:szCs w:val="20"/>
        </w:rPr>
        <w:t>conseguir un cambio en la cultura del secretismo de un país como España</w:t>
      </w:r>
      <w:r w:rsidR="005741B9">
        <w:rPr>
          <w:rFonts w:ascii="Verdana" w:hAnsi="Verdana" w:cs="Calibri"/>
          <w:sz w:val="20"/>
          <w:szCs w:val="20"/>
        </w:rPr>
        <w:t>,</w:t>
      </w:r>
      <w:r w:rsidR="00EA4DAA">
        <w:rPr>
          <w:rFonts w:ascii="Verdana" w:hAnsi="Verdana" w:cs="Calibri"/>
          <w:sz w:val="20"/>
          <w:szCs w:val="20"/>
        </w:rPr>
        <w:t xml:space="preserve"> con altísimos niveles de silencio administrativo en materia de acceso a la información, además de ser esenciales para asegurar una implementación eficaz y homogénea dentro y fuera de las instituciones públicas.</w:t>
      </w:r>
    </w:p>
    <w:p w:rsidR="001D3438" w:rsidRDefault="005A600B" w:rsidP="002A1C82">
      <w:pPr>
        <w:pStyle w:val="NormalWeb"/>
        <w:spacing w:before="0" w:after="200" w:line="276" w:lineRule="auto"/>
        <w:jc w:val="both"/>
        <w:rPr>
          <w:rFonts w:ascii="Verdana" w:hAnsi="Verdana" w:cs="Calibri"/>
          <w:sz w:val="20"/>
          <w:szCs w:val="20"/>
        </w:rPr>
      </w:pPr>
      <w:r>
        <w:rPr>
          <w:rFonts w:ascii="Verdana" w:hAnsi="Verdana" w:cs="Calibri"/>
          <w:sz w:val="20"/>
          <w:szCs w:val="20"/>
        </w:rPr>
        <w:t>El proyecto de ley no menciona en ningún momento la promoción del derecho de acceso a la información y tampoco especifica qui</w:t>
      </w:r>
      <w:r w:rsidR="005741B9">
        <w:rPr>
          <w:rFonts w:ascii="Verdana" w:hAnsi="Verdana" w:cs="Calibri"/>
          <w:sz w:val="20"/>
          <w:szCs w:val="20"/>
        </w:rPr>
        <w:t>é</w:t>
      </w:r>
      <w:r>
        <w:rPr>
          <w:rFonts w:ascii="Verdana" w:hAnsi="Verdana" w:cs="Calibri"/>
          <w:sz w:val="20"/>
          <w:szCs w:val="20"/>
        </w:rPr>
        <w:t>n será el encargado de desarrollar las actividades de promoción previstas en la ley. Es importante encomendar estas tareas a un órgano concreto que asegure una buena implementación de la ley y el derecho, ya sea el órgano de revisión, ya sean las unidades de información.</w:t>
      </w:r>
    </w:p>
    <w:p w:rsidR="001D3438" w:rsidRDefault="005A600B" w:rsidP="002A1C82">
      <w:pPr>
        <w:pStyle w:val="NormalWeb"/>
        <w:spacing w:before="0" w:after="200" w:line="276" w:lineRule="auto"/>
        <w:jc w:val="both"/>
      </w:pPr>
      <w:r>
        <w:rPr>
          <w:rFonts w:ascii="Verdana" w:hAnsi="Verdana" w:cs="Calibri"/>
          <w:sz w:val="20"/>
          <w:szCs w:val="20"/>
        </w:rPr>
        <w:t xml:space="preserve">Las actividades de promoción que se recomienda incluir en esta ley además de las </w:t>
      </w:r>
      <w:r w:rsidR="004A2A3B">
        <w:rPr>
          <w:rFonts w:ascii="Verdana" w:hAnsi="Verdana" w:cs="Calibri"/>
          <w:sz w:val="20"/>
          <w:szCs w:val="20"/>
        </w:rPr>
        <w:t>ya incluidas</w:t>
      </w:r>
      <w:r>
        <w:rPr>
          <w:rFonts w:ascii="Verdana" w:hAnsi="Verdana" w:cs="Calibri"/>
          <w:sz w:val="20"/>
          <w:szCs w:val="20"/>
        </w:rPr>
        <w:t xml:space="preserve"> son:</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Encomendar a un organismo central el mandato de promocionar el derecho de acceso a la información.</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lastRenderedPageBreak/>
        <w:t>Encargar a las instituciones públicas que informen anualmente sobre las acciones llevadas a cabo para implementar sus obligaciones de transparencia y la obligación de presentar un informe detallado al poder legislativo sobre la implementación de la ley.</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Prever por ley medidas concretas de promoción del derecho de acceso a la información en la sociedad</w:t>
      </w:r>
      <w:r w:rsidR="004A2A3B">
        <w:rPr>
          <w:rFonts w:ascii="Verdana" w:hAnsi="Verdana" w:cs="Calibri"/>
          <w:sz w:val="20"/>
          <w:szCs w:val="20"/>
        </w:rPr>
        <w:t>,</w:t>
      </w:r>
      <w:r>
        <w:rPr>
          <w:rFonts w:ascii="Verdana" w:hAnsi="Verdana" w:cs="Calibri"/>
          <w:sz w:val="20"/>
          <w:szCs w:val="20"/>
        </w:rPr>
        <w:t xml:space="preserve"> como pueden ser la creación de guías explicando este derecho o </w:t>
      </w:r>
      <w:r w:rsidR="005741B9">
        <w:rPr>
          <w:rFonts w:ascii="Verdana" w:hAnsi="Verdana" w:cs="Calibri"/>
          <w:sz w:val="20"/>
          <w:szCs w:val="20"/>
        </w:rPr>
        <w:t xml:space="preserve">impartiendo </w:t>
      </w:r>
      <w:r>
        <w:rPr>
          <w:rFonts w:ascii="Verdana" w:hAnsi="Verdana" w:cs="Calibri"/>
          <w:sz w:val="20"/>
          <w:szCs w:val="20"/>
        </w:rPr>
        <w:t>curso</w:t>
      </w:r>
      <w:r w:rsidR="005741B9">
        <w:rPr>
          <w:rFonts w:ascii="Verdana" w:hAnsi="Verdana" w:cs="Calibri"/>
          <w:sz w:val="20"/>
          <w:szCs w:val="20"/>
        </w:rPr>
        <w:t>s</w:t>
      </w:r>
      <w:r>
        <w:rPr>
          <w:rFonts w:ascii="Verdana" w:hAnsi="Verdana" w:cs="Calibri"/>
          <w:sz w:val="20"/>
          <w:szCs w:val="20"/>
        </w:rPr>
        <w:t xml:space="preserve"> en colegios.</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Crear o prever la creación de un sistema de orden y diligencia a la hora de tratar la información en manos de las instituciones públicas.</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Establecer la obligación de crear listas con los documentos en poder de cada institución pública.</w:t>
      </w:r>
    </w:p>
    <w:p w:rsidR="001D3438" w:rsidRDefault="005A600B" w:rsidP="002A1C82">
      <w:pPr>
        <w:pStyle w:val="NormalWeb"/>
        <w:numPr>
          <w:ilvl w:val="0"/>
          <w:numId w:val="3"/>
        </w:numPr>
        <w:spacing w:before="0" w:after="200" w:line="276" w:lineRule="auto"/>
        <w:jc w:val="both"/>
        <w:rPr>
          <w:rFonts w:ascii="Verdana" w:hAnsi="Verdana" w:cs="Calibri"/>
          <w:sz w:val="20"/>
          <w:szCs w:val="20"/>
        </w:rPr>
      </w:pPr>
      <w:r>
        <w:rPr>
          <w:rFonts w:ascii="Verdana" w:hAnsi="Verdana" w:cs="Calibri"/>
          <w:sz w:val="20"/>
          <w:szCs w:val="20"/>
        </w:rPr>
        <w:t>Prever programas de formación de funcionarios sobre sus obligaciones de transparencia.</w:t>
      </w:r>
    </w:p>
    <w:p w:rsidR="000F19CD" w:rsidRPr="004310DE" w:rsidRDefault="00F51AEF" w:rsidP="000F19CD">
      <w:pPr>
        <w:pStyle w:val="Prrafodelista"/>
        <w:numPr>
          <w:ilvl w:val="0"/>
          <w:numId w:val="1"/>
        </w:numPr>
        <w:rPr>
          <w:rFonts w:ascii="Verdana" w:hAnsi="Verdana"/>
          <w:i/>
          <w:color w:val="C00000"/>
          <w:sz w:val="20"/>
          <w:szCs w:val="20"/>
        </w:rPr>
      </w:pPr>
      <w:r>
        <w:rPr>
          <w:rFonts w:ascii="Verdana" w:hAnsi="Verdana"/>
          <w:i/>
          <w:color w:val="C00000"/>
          <w:sz w:val="20"/>
          <w:szCs w:val="20"/>
        </w:rPr>
        <w:t>Recomendación 16</w:t>
      </w:r>
      <w:r w:rsidR="005A600B">
        <w:rPr>
          <w:rFonts w:ascii="Verdana" w:hAnsi="Verdana"/>
          <w:i/>
          <w:color w:val="C00000"/>
          <w:sz w:val="20"/>
          <w:szCs w:val="20"/>
        </w:rPr>
        <w:t xml:space="preserve">: El parlamento debería prever en la ley medidas de promoción dentro y fuera de las instituciones públicas para asegurar </w:t>
      </w:r>
      <w:r w:rsidR="00FE3A3D">
        <w:rPr>
          <w:rFonts w:ascii="Verdana" w:hAnsi="Verdana"/>
          <w:i/>
          <w:color w:val="C00000"/>
          <w:sz w:val="20"/>
          <w:szCs w:val="20"/>
        </w:rPr>
        <w:t>una</w:t>
      </w:r>
      <w:r w:rsidR="005A600B">
        <w:rPr>
          <w:rFonts w:ascii="Verdana" w:hAnsi="Verdana"/>
          <w:i/>
          <w:color w:val="C00000"/>
          <w:sz w:val="20"/>
          <w:szCs w:val="20"/>
        </w:rPr>
        <w:t xml:space="preserve"> correcta implementación de la misma.</w:t>
      </w:r>
    </w:p>
    <w:p w:rsidR="000F19CD" w:rsidRDefault="000F19CD" w:rsidP="002A1C82">
      <w:pPr>
        <w:rPr>
          <w:rFonts w:ascii="Verdana" w:hAnsi="Verdana" w:cs="Calibri"/>
          <w:sz w:val="20"/>
          <w:szCs w:val="20"/>
        </w:rPr>
      </w:pPr>
    </w:p>
    <w:sectPr w:rsidR="000F19CD" w:rsidSect="00141551">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69" w:rsidRDefault="00C87169">
      <w:pPr>
        <w:spacing w:after="0" w:line="240" w:lineRule="auto"/>
      </w:pPr>
      <w:r>
        <w:separator/>
      </w:r>
    </w:p>
  </w:endnote>
  <w:endnote w:type="continuationSeparator" w:id="0">
    <w:p w:rsidR="00C87169" w:rsidRDefault="00C8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69" w:rsidRDefault="00C87169">
      <w:pPr>
        <w:spacing w:after="0" w:line="240" w:lineRule="auto"/>
      </w:pPr>
      <w:r>
        <w:rPr>
          <w:color w:val="000000"/>
        </w:rPr>
        <w:separator/>
      </w:r>
    </w:p>
  </w:footnote>
  <w:footnote w:type="continuationSeparator" w:id="0">
    <w:p w:rsidR="00C87169" w:rsidRDefault="00C87169">
      <w:pPr>
        <w:spacing w:after="0" w:line="240" w:lineRule="auto"/>
      </w:pPr>
      <w:r>
        <w:continuationSeparator/>
      </w:r>
    </w:p>
  </w:footnote>
  <w:footnote w:id="1">
    <w:p w:rsidR="00633E6A" w:rsidRPr="00633E6A" w:rsidRDefault="00816D36" w:rsidP="00633E6A">
      <w:pPr>
        <w:pStyle w:val="AIEFootnote"/>
        <w:rPr>
          <w:rFonts w:asciiTheme="minorHAnsi" w:hAnsiTheme="minorHAnsi" w:cstheme="minorHAnsi"/>
          <w:sz w:val="18"/>
          <w:szCs w:val="18"/>
          <w:lang w:val="es-ES"/>
        </w:rPr>
      </w:pPr>
      <w:r w:rsidRPr="00633E6A">
        <w:rPr>
          <w:rStyle w:val="Refdenotaalpie"/>
          <w:rFonts w:asciiTheme="minorHAnsi" w:hAnsiTheme="minorHAnsi" w:cstheme="minorHAnsi"/>
          <w:sz w:val="18"/>
          <w:szCs w:val="18"/>
        </w:rPr>
        <w:footnoteRef/>
      </w:r>
      <w:r w:rsidRPr="00633E6A">
        <w:rPr>
          <w:rFonts w:asciiTheme="minorHAnsi" w:hAnsiTheme="minorHAnsi" w:cstheme="minorHAnsi"/>
          <w:sz w:val="18"/>
          <w:szCs w:val="18"/>
          <w:lang w:val="es-ES"/>
        </w:rPr>
        <w:t xml:space="preserve"> </w:t>
      </w:r>
      <w:r w:rsidR="00633E6A" w:rsidRPr="00633E6A">
        <w:rPr>
          <w:rFonts w:asciiTheme="minorHAnsi" w:hAnsiTheme="minorHAnsi" w:cstheme="minorHAnsi"/>
          <w:sz w:val="18"/>
          <w:szCs w:val="18"/>
          <w:lang w:val="es-ES"/>
        </w:rPr>
        <w:t xml:space="preserve">Caso </w:t>
      </w:r>
      <w:proofErr w:type="spellStart"/>
      <w:r w:rsidRPr="00633E6A">
        <w:rPr>
          <w:rFonts w:asciiTheme="minorHAnsi" w:hAnsiTheme="minorHAnsi" w:cstheme="minorHAnsi"/>
          <w:i/>
          <w:sz w:val="18"/>
          <w:szCs w:val="18"/>
          <w:lang w:val="es-ES"/>
        </w:rPr>
        <w:t>Társaság</w:t>
      </w:r>
      <w:proofErr w:type="spellEnd"/>
      <w:r w:rsidRPr="00633E6A">
        <w:rPr>
          <w:rFonts w:asciiTheme="minorHAnsi" w:hAnsiTheme="minorHAnsi" w:cstheme="minorHAnsi"/>
          <w:i/>
          <w:sz w:val="18"/>
          <w:szCs w:val="18"/>
          <w:lang w:val="es-ES"/>
        </w:rPr>
        <w:t xml:space="preserve"> a </w:t>
      </w:r>
      <w:proofErr w:type="spellStart"/>
      <w:r w:rsidRPr="00633E6A">
        <w:rPr>
          <w:rFonts w:asciiTheme="minorHAnsi" w:hAnsiTheme="minorHAnsi" w:cstheme="minorHAnsi"/>
          <w:i/>
          <w:sz w:val="18"/>
          <w:szCs w:val="18"/>
          <w:lang w:val="es-ES"/>
        </w:rPr>
        <w:t>Szabadságjogokért</w:t>
      </w:r>
      <w:proofErr w:type="spellEnd"/>
      <w:r w:rsidRPr="00633E6A">
        <w:rPr>
          <w:rFonts w:asciiTheme="minorHAnsi" w:hAnsiTheme="minorHAnsi" w:cstheme="minorHAnsi"/>
          <w:i/>
          <w:sz w:val="18"/>
          <w:szCs w:val="18"/>
          <w:lang w:val="es-ES"/>
        </w:rPr>
        <w:t xml:space="preserve"> v. </w:t>
      </w:r>
      <w:proofErr w:type="spellStart"/>
      <w:r w:rsidRPr="00633E6A">
        <w:rPr>
          <w:rFonts w:asciiTheme="minorHAnsi" w:hAnsiTheme="minorHAnsi" w:cstheme="minorHAnsi"/>
          <w:i/>
          <w:sz w:val="18"/>
          <w:szCs w:val="18"/>
          <w:lang w:val="es-ES"/>
        </w:rPr>
        <w:t>Hungary</w:t>
      </w:r>
      <w:proofErr w:type="spellEnd"/>
      <w:r w:rsidR="00633E6A" w:rsidRPr="00633E6A">
        <w:rPr>
          <w:rFonts w:asciiTheme="minorHAnsi" w:hAnsiTheme="minorHAnsi" w:cstheme="minorHAnsi"/>
          <w:sz w:val="18"/>
          <w:szCs w:val="18"/>
          <w:lang w:val="es-ES"/>
        </w:rPr>
        <w:t xml:space="preserve"> (App no 37374/05), Tribunal Europeo de Derechos Humanos, 14 de ab</w:t>
      </w:r>
      <w:r w:rsidRPr="00633E6A">
        <w:rPr>
          <w:rFonts w:asciiTheme="minorHAnsi" w:hAnsiTheme="minorHAnsi" w:cstheme="minorHAnsi"/>
          <w:sz w:val="18"/>
          <w:szCs w:val="18"/>
          <w:lang w:val="es-ES"/>
        </w:rPr>
        <w:t xml:space="preserve">ril </w:t>
      </w:r>
      <w:r w:rsidR="00633E6A" w:rsidRPr="00633E6A">
        <w:rPr>
          <w:rFonts w:asciiTheme="minorHAnsi" w:hAnsiTheme="minorHAnsi" w:cstheme="minorHAnsi"/>
          <w:sz w:val="18"/>
          <w:szCs w:val="18"/>
          <w:lang w:val="es-ES"/>
        </w:rPr>
        <w:t xml:space="preserve">de 2009, </w:t>
      </w:r>
      <w:proofErr w:type="spellStart"/>
      <w:r w:rsidR="00633E6A" w:rsidRPr="00633E6A">
        <w:rPr>
          <w:rFonts w:asciiTheme="minorHAnsi" w:hAnsiTheme="minorHAnsi" w:cstheme="minorHAnsi"/>
          <w:sz w:val="18"/>
          <w:szCs w:val="18"/>
          <w:lang w:val="es-ES"/>
        </w:rPr>
        <w:t>parrafo</w:t>
      </w:r>
      <w:proofErr w:type="spellEnd"/>
      <w:r w:rsidRPr="00633E6A">
        <w:rPr>
          <w:rFonts w:asciiTheme="minorHAnsi" w:hAnsiTheme="minorHAnsi" w:cstheme="minorHAnsi"/>
          <w:sz w:val="18"/>
          <w:szCs w:val="18"/>
          <w:lang w:val="es-ES"/>
        </w:rPr>
        <w:t xml:space="preserve"> 36, </w:t>
      </w:r>
    </w:p>
    <w:p w:rsidR="00816D36" w:rsidRPr="00633E6A" w:rsidRDefault="008F683E" w:rsidP="00633E6A">
      <w:pPr>
        <w:pStyle w:val="AIEFootnote"/>
        <w:rPr>
          <w:rFonts w:asciiTheme="minorHAnsi" w:hAnsiTheme="minorHAnsi" w:cstheme="minorHAnsi"/>
          <w:sz w:val="18"/>
          <w:szCs w:val="18"/>
          <w:lang w:val="es-ES"/>
        </w:rPr>
      </w:pPr>
      <w:hyperlink r:id="rId1" w:history="1">
        <w:r w:rsidRPr="00DC38B0">
          <w:rPr>
            <w:rStyle w:val="Hipervnculo"/>
            <w:rFonts w:asciiTheme="minorHAnsi" w:hAnsiTheme="minorHAnsi" w:cstheme="minorHAnsi"/>
            <w:sz w:val="18"/>
            <w:szCs w:val="18"/>
            <w:lang w:val="es-ES"/>
          </w:rPr>
          <w:t>http://cmiskp.echr.coe.int/tkp197/vie</w:t>
        </w:r>
        <w:bookmarkStart w:id="1" w:name="_Hlt296429739"/>
        <w:bookmarkStart w:id="2" w:name="_Hlt296429740"/>
        <w:r w:rsidRPr="00DC38B0">
          <w:rPr>
            <w:rStyle w:val="Hipervnculo"/>
            <w:rFonts w:asciiTheme="minorHAnsi" w:hAnsiTheme="minorHAnsi" w:cstheme="minorHAnsi"/>
            <w:sz w:val="18"/>
            <w:szCs w:val="18"/>
            <w:lang w:val="es-ES"/>
          </w:rPr>
          <w:t>w</w:t>
        </w:r>
        <w:bookmarkEnd w:id="1"/>
        <w:bookmarkEnd w:id="2"/>
        <w:r w:rsidRPr="00DC38B0">
          <w:rPr>
            <w:rStyle w:val="Hipervnculo"/>
            <w:rFonts w:asciiTheme="minorHAnsi" w:hAnsiTheme="minorHAnsi" w:cstheme="minorHAnsi"/>
            <w:sz w:val="18"/>
            <w:szCs w:val="18"/>
            <w:lang w:val="es-ES"/>
          </w:rPr>
          <w:t>.asp?action=html&amp;documentId=849278&amp;portal=hbkm&amp;source=externalbydocnumber&amp;table=F69A27FD8FB86142BF01C116</w:t>
        </w:r>
        <w:r w:rsidRPr="00DC38B0">
          <w:rPr>
            <w:rStyle w:val="Hipervnculo"/>
            <w:rFonts w:asciiTheme="minorHAnsi" w:hAnsiTheme="minorHAnsi" w:cstheme="minorHAnsi"/>
            <w:sz w:val="18"/>
            <w:szCs w:val="18"/>
            <w:lang w:val="es-ES"/>
          </w:rPr>
          <w:t>6</w:t>
        </w:r>
        <w:r w:rsidRPr="00DC38B0">
          <w:rPr>
            <w:rStyle w:val="Hipervnculo"/>
            <w:rFonts w:asciiTheme="minorHAnsi" w:hAnsiTheme="minorHAnsi" w:cstheme="minorHAnsi"/>
            <w:sz w:val="18"/>
            <w:szCs w:val="18"/>
            <w:lang w:val="es-ES"/>
          </w:rPr>
          <w:t>DEA398649</w:t>
        </w:r>
      </w:hyperlink>
      <w:r w:rsidR="00816D36" w:rsidRPr="00633E6A">
        <w:rPr>
          <w:rFonts w:asciiTheme="minorHAnsi" w:hAnsiTheme="minorHAnsi" w:cstheme="minorHAnsi"/>
          <w:sz w:val="18"/>
          <w:szCs w:val="18"/>
          <w:lang w:val="es-ES"/>
        </w:rPr>
        <w:t>.</w:t>
      </w:r>
    </w:p>
  </w:footnote>
  <w:footnote w:id="2">
    <w:p w:rsidR="00816D36" w:rsidRPr="00633E6A" w:rsidRDefault="00816D36" w:rsidP="00633E6A">
      <w:pPr>
        <w:pStyle w:val="AIEFootnote"/>
        <w:rPr>
          <w:rFonts w:asciiTheme="minorHAnsi" w:hAnsiTheme="minorHAnsi" w:cstheme="minorHAnsi"/>
          <w:sz w:val="18"/>
          <w:szCs w:val="18"/>
          <w:lang w:val="es-ES"/>
        </w:rPr>
      </w:pPr>
      <w:r w:rsidRPr="00633E6A">
        <w:rPr>
          <w:rStyle w:val="Refdenotaalpie"/>
          <w:rFonts w:asciiTheme="minorHAnsi" w:hAnsiTheme="minorHAnsi" w:cstheme="minorHAnsi"/>
          <w:sz w:val="18"/>
          <w:szCs w:val="18"/>
        </w:rPr>
        <w:footnoteRef/>
      </w:r>
      <w:r w:rsidR="00633E6A" w:rsidRPr="00633E6A">
        <w:rPr>
          <w:rFonts w:asciiTheme="minorHAnsi" w:hAnsiTheme="minorHAnsi" w:cstheme="minorHAnsi"/>
          <w:sz w:val="18"/>
          <w:szCs w:val="18"/>
          <w:lang w:val="es-ES"/>
        </w:rPr>
        <w:t xml:space="preserve"> Caso </w:t>
      </w:r>
      <w:proofErr w:type="spellStart"/>
      <w:r w:rsidRPr="00633E6A">
        <w:rPr>
          <w:rStyle w:val="nfasis"/>
          <w:rFonts w:asciiTheme="minorHAnsi" w:hAnsiTheme="minorHAnsi" w:cstheme="minorHAnsi"/>
          <w:sz w:val="18"/>
          <w:szCs w:val="18"/>
          <w:lang w:val="es-ES"/>
        </w:rPr>
        <w:t>Kenedi</w:t>
      </w:r>
      <w:proofErr w:type="spellEnd"/>
      <w:r w:rsidRPr="00633E6A">
        <w:rPr>
          <w:rStyle w:val="nfasis"/>
          <w:rFonts w:asciiTheme="minorHAnsi" w:hAnsiTheme="minorHAnsi" w:cstheme="minorHAnsi"/>
          <w:sz w:val="18"/>
          <w:szCs w:val="18"/>
          <w:lang w:val="es-ES"/>
        </w:rPr>
        <w:t xml:space="preserve"> v. </w:t>
      </w:r>
      <w:proofErr w:type="spellStart"/>
      <w:r w:rsidRPr="00633E6A">
        <w:rPr>
          <w:rStyle w:val="nfasis"/>
          <w:rFonts w:asciiTheme="minorHAnsi" w:hAnsiTheme="minorHAnsi" w:cstheme="minorHAnsi"/>
          <w:sz w:val="18"/>
          <w:szCs w:val="18"/>
          <w:lang w:val="es-ES"/>
        </w:rPr>
        <w:t>Hungary</w:t>
      </w:r>
      <w:proofErr w:type="spellEnd"/>
      <w:r w:rsidRPr="00633E6A">
        <w:rPr>
          <w:rStyle w:val="nfasis"/>
          <w:rFonts w:asciiTheme="minorHAnsi" w:hAnsiTheme="minorHAnsi" w:cstheme="minorHAnsi"/>
          <w:sz w:val="18"/>
          <w:szCs w:val="18"/>
          <w:lang w:val="es-ES"/>
        </w:rPr>
        <w:t xml:space="preserve"> </w:t>
      </w:r>
      <w:r w:rsidRPr="00633E6A">
        <w:rPr>
          <w:rFonts w:asciiTheme="minorHAnsi" w:hAnsiTheme="minorHAnsi" w:cstheme="minorHAnsi"/>
          <w:sz w:val="18"/>
          <w:szCs w:val="18"/>
          <w:lang w:val="es-ES"/>
        </w:rPr>
        <w:t>(</w:t>
      </w:r>
      <w:proofErr w:type="spellStart"/>
      <w:r w:rsidRPr="00633E6A">
        <w:rPr>
          <w:rFonts w:asciiTheme="minorHAnsi" w:hAnsiTheme="minorHAnsi" w:cstheme="minorHAnsi"/>
          <w:sz w:val="18"/>
          <w:szCs w:val="18"/>
          <w:lang w:val="es-ES"/>
        </w:rPr>
        <w:t>Appl</w:t>
      </w:r>
      <w:proofErr w:type="spellEnd"/>
      <w:r w:rsidRPr="00633E6A">
        <w:rPr>
          <w:rFonts w:asciiTheme="minorHAnsi" w:hAnsiTheme="minorHAnsi" w:cstheme="minorHAnsi"/>
          <w:sz w:val="18"/>
          <w:szCs w:val="18"/>
          <w:lang w:val="es-ES"/>
        </w:rPr>
        <w:t>. no. 31475/05)</w:t>
      </w:r>
      <w:r w:rsidR="00633E6A" w:rsidRPr="00633E6A">
        <w:rPr>
          <w:rFonts w:asciiTheme="minorHAnsi" w:hAnsiTheme="minorHAnsi" w:cstheme="minorHAnsi"/>
          <w:sz w:val="18"/>
          <w:szCs w:val="18"/>
          <w:lang w:val="es-ES"/>
        </w:rPr>
        <w:t>, Tribunal Europeo de Derechos Humanos, 26 de mayo de 2009,</w:t>
      </w:r>
      <w:r w:rsidR="00FD4028" w:rsidRPr="00633E6A">
        <w:rPr>
          <w:rFonts w:asciiTheme="minorHAnsi" w:hAnsiTheme="minorHAnsi" w:cstheme="minorHAnsi"/>
          <w:sz w:val="18"/>
          <w:szCs w:val="18"/>
          <w:lang w:val="es-ES"/>
        </w:rPr>
        <w:t xml:space="preserve"> </w:t>
      </w:r>
      <w:hyperlink r:id="rId2" w:anchor="{%22itemid%22:[%22001-92663%22]}" w:history="1">
        <w:r w:rsidR="00633E6A" w:rsidRPr="00633E6A">
          <w:rPr>
            <w:rStyle w:val="Hipervnculo"/>
            <w:rFonts w:asciiTheme="minorHAnsi" w:hAnsiTheme="minorHAnsi" w:cstheme="minorHAnsi"/>
            <w:sz w:val="18"/>
            <w:szCs w:val="18"/>
            <w:lang w:val="es-ES"/>
          </w:rPr>
          <w:t>http://hudoc.echr.coe.int/sites/eng/pages/search.aspx?i=001-92663#{%22itemid%22:[%22001-92663%22]}</w:t>
        </w:r>
      </w:hyperlink>
      <w:r w:rsidR="00633E6A" w:rsidRPr="00633E6A">
        <w:rPr>
          <w:rFonts w:asciiTheme="minorHAnsi" w:hAnsiTheme="minorHAnsi" w:cstheme="minorHAnsi"/>
          <w:sz w:val="18"/>
          <w:szCs w:val="18"/>
          <w:lang w:val="es-ES"/>
        </w:rPr>
        <w:t xml:space="preserve"> </w:t>
      </w:r>
    </w:p>
  </w:footnote>
  <w:footnote w:id="3">
    <w:p w:rsidR="00816D36" w:rsidRPr="00633E6A" w:rsidRDefault="00816D36" w:rsidP="00633E6A">
      <w:pPr>
        <w:pStyle w:val="Textonotapie"/>
        <w:rPr>
          <w:rFonts w:asciiTheme="minorHAnsi" w:hAnsiTheme="minorHAnsi" w:cstheme="minorHAnsi"/>
          <w:sz w:val="18"/>
          <w:szCs w:val="18"/>
        </w:rPr>
      </w:pPr>
      <w:r w:rsidRPr="00633E6A">
        <w:rPr>
          <w:rStyle w:val="Refdenotaalpie"/>
          <w:rFonts w:asciiTheme="minorHAnsi" w:hAnsiTheme="minorHAnsi" w:cstheme="minorHAnsi"/>
          <w:sz w:val="18"/>
          <w:szCs w:val="18"/>
        </w:rPr>
        <w:footnoteRef/>
      </w:r>
      <w:r w:rsidRPr="00633E6A">
        <w:rPr>
          <w:rFonts w:asciiTheme="minorHAnsi" w:hAnsiTheme="minorHAnsi" w:cstheme="minorHAnsi"/>
          <w:sz w:val="18"/>
          <w:szCs w:val="18"/>
        </w:rPr>
        <w:t xml:space="preserve"> </w:t>
      </w:r>
      <w:r w:rsidR="000F19CD" w:rsidRPr="00633E6A">
        <w:rPr>
          <w:rFonts w:asciiTheme="minorHAnsi" w:hAnsiTheme="minorHAnsi" w:cstheme="minorHAnsi"/>
          <w:sz w:val="18"/>
          <w:szCs w:val="18"/>
        </w:rPr>
        <w:t xml:space="preserve">Corte IDH. </w:t>
      </w:r>
      <w:r w:rsidR="000F19CD" w:rsidRPr="00633E6A">
        <w:rPr>
          <w:rFonts w:asciiTheme="minorHAnsi" w:hAnsiTheme="minorHAnsi" w:cstheme="minorHAnsi"/>
          <w:bCs/>
          <w:sz w:val="18"/>
          <w:szCs w:val="18"/>
        </w:rPr>
        <w:t xml:space="preserve">Caso Claude Reyes y otros Vs. Chile. </w:t>
      </w:r>
      <w:r w:rsidR="000F19CD" w:rsidRPr="00633E6A">
        <w:rPr>
          <w:rFonts w:asciiTheme="minorHAnsi" w:hAnsiTheme="minorHAnsi" w:cstheme="minorHAnsi"/>
          <w:sz w:val="18"/>
          <w:szCs w:val="18"/>
        </w:rPr>
        <w:t xml:space="preserve">Fondo, Reparaciones y Costas. Sentencia de 19 de septiembre de 2006. Serie C No. 151  </w:t>
      </w:r>
      <w:hyperlink w:history="1"/>
      <w:hyperlink r:id="rId3" w:history="1">
        <w:r w:rsidR="00257E45" w:rsidRPr="00633E6A">
          <w:rPr>
            <w:rStyle w:val="Hipervnculo"/>
            <w:rFonts w:asciiTheme="minorHAnsi" w:hAnsiTheme="minorHAnsi" w:cstheme="minorHAnsi"/>
            <w:sz w:val="18"/>
            <w:szCs w:val="18"/>
          </w:rPr>
          <w:t>http://www.corteidh.or.cr/casos.cfm?idCaso=245</w:t>
        </w:r>
      </w:hyperlink>
      <w:r w:rsidR="00257E45" w:rsidRPr="00633E6A">
        <w:rPr>
          <w:rFonts w:asciiTheme="minorHAnsi" w:hAnsiTheme="minorHAnsi" w:cstheme="minorHAnsi"/>
          <w:sz w:val="18"/>
          <w:szCs w:val="18"/>
        </w:rPr>
        <w:t xml:space="preserve"> </w:t>
      </w:r>
    </w:p>
  </w:footnote>
  <w:footnote w:id="4">
    <w:p w:rsidR="00816D36" w:rsidRPr="00633E6A" w:rsidRDefault="00816D36" w:rsidP="00633E6A">
      <w:pPr>
        <w:spacing w:after="0" w:line="240" w:lineRule="auto"/>
        <w:rPr>
          <w:rFonts w:asciiTheme="minorHAnsi" w:hAnsiTheme="minorHAnsi" w:cstheme="minorHAnsi"/>
          <w:sz w:val="18"/>
          <w:szCs w:val="18"/>
        </w:rPr>
      </w:pPr>
      <w:r w:rsidRPr="00633E6A">
        <w:rPr>
          <w:rStyle w:val="Refdenotaalpie"/>
          <w:rFonts w:asciiTheme="minorHAnsi" w:hAnsiTheme="minorHAnsi" w:cstheme="minorHAnsi"/>
          <w:sz w:val="18"/>
          <w:szCs w:val="18"/>
        </w:rPr>
        <w:footnoteRef/>
      </w:r>
      <w:r w:rsidRPr="00633E6A">
        <w:rPr>
          <w:rFonts w:asciiTheme="minorHAnsi" w:hAnsiTheme="minorHAnsi" w:cstheme="minorHAnsi"/>
          <w:sz w:val="18"/>
          <w:szCs w:val="18"/>
        </w:rPr>
        <w:t xml:space="preserve"> </w:t>
      </w:r>
      <w:r w:rsidR="00FD4028" w:rsidRPr="00633E6A">
        <w:rPr>
          <w:rFonts w:asciiTheme="minorHAnsi" w:hAnsiTheme="minorHAnsi" w:cstheme="minorHAnsi"/>
          <w:sz w:val="18"/>
          <w:szCs w:val="18"/>
        </w:rPr>
        <w:t xml:space="preserve">Ver la Opinión General </w:t>
      </w:r>
      <w:r w:rsidR="008F2C0D" w:rsidRPr="00633E6A">
        <w:rPr>
          <w:rFonts w:asciiTheme="minorHAnsi" w:hAnsiTheme="minorHAnsi" w:cstheme="minorHAnsi"/>
          <w:sz w:val="18"/>
          <w:szCs w:val="18"/>
        </w:rPr>
        <w:t xml:space="preserve">39 sobre el Articulo 19 </w:t>
      </w:r>
      <w:r w:rsidR="00FD4028" w:rsidRPr="00633E6A">
        <w:rPr>
          <w:rFonts w:asciiTheme="minorHAnsi" w:hAnsiTheme="minorHAnsi" w:cstheme="minorHAnsi"/>
          <w:sz w:val="18"/>
          <w:szCs w:val="18"/>
        </w:rPr>
        <w:t>de</w:t>
      </w:r>
      <w:r w:rsidR="008F2C0D" w:rsidRPr="00633E6A">
        <w:rPr>
          <w:rFonts w:asciiTheme="minorHAnsi" w:hAnsiTheme="minorHAnsi" w:cstheme="minorHAnsi"/>
          <w:sz w:val="18"/>
          <w:szCs w:val="18"/>
        </w:rPr>
        <w:t xml:space="preserve">l </w:t>
      </w:r>
      <w:hyperlink r:id="rId4" w:history="1">
        <w:r w:rsidR="008F2C0D" w:rsidRPr="00633E6A">
          <w:rPr>
            <w:rStyle w:val="Hipervnculo"/>
            <w:rFonts w:asciiTheme="minorHAnsi" w:hAnsiTheme="minorHAnsi" w:cstheme="minorHAnsi"/>
            <w:sz w:val="18"/>
            <w:szCs w:val="18"/>
          </w:rPr>
          <w:t>Pacto Internacional de Derechos Civiles y Políticos</w:t>
        </w:r>
      </w:hyperlink>
      <w:r w:rsidR="008F2C0D" w:rsidRPr="00633E6A">
        <w:rPr>
          <w:rFonts w:asciiTheme="minorHAnsi" w:hAnsiTheme="minorHAnsi" w:cstheme="minorHAnsi"/>
          <w:sz w:val="18"/>
          <w:szCs w:val="18"/>
        </w:rPr>
        <w:t xml:space="preserve"> por e</w:t>
      </w:r>
      <w:r w:rsidRPr="00633E6A">
        <w:rPr>
          <w:rFonts w:asciiTheme="minorHAnsi" w:hAnsiTheme="minorHAnsi" w:cstheme="minorHAnsi"/>
          <w:sz w:val="18"/>
          <w:szCs w:val="18"/>
        </w:rPr>
        <w:t>l Comité de Derechos Humanos</w:t>
      </w:r>
      <w:r w:rsidR="008F2C0D" w:rsidRPr="00633E6A">
        <w:rPr>
          <w:rFonts w:asciiTheme="minorHAnsi" w:hAnsiTheme="minorHAnsi" w:cstheme="minorHAnsi"/>
          <w:sz w:val="18"/>
          <w:szCs w:val="18"/>
        </w:rPr>
        <w:t xml:space="preserve"> de la Naciones Unidas</w:t>
      </w:r>
      <w:r w:rsidR="00FD4028" w:rsidRPr="00633E6A">
        <w:rPr>
          <w:rFonts w:asciiTheme="minorHAnsi" w:hAnsiTheme="minorHAnsi" w:cstheme="minorHAnsi"/>
          <w:sz w:val="18"/>
          <w:szCs w:val="18"/>
        </w:rPr>
        <w:t xml:space="preserve">, </w:t>
      </w:r>
      <w:r w:rsidRPr="00633E6A">
        <w:rPr>
          <w:rFonts w:asciiTheme="minorHAnsi" w:hAnsiTheme="minorHAnsi" w:cstheme="minorHAnsi"/>
          <w:sz w:val="18"/>
          <w:szCs w:val="18"/>
        </w:rPr>
        <w:t xml:space="preserve"> órgano de </w:t>
      </w:r>
      <w:hyperlink r:id="rId5" w:history="1">
        <w:r w:rsidRPr="00633E6A">
          <w:rPr>
            <w:rStyle w:val="Hipervnculo"/>
            <w:rFonts w:asciiTheme="minorHAnsi" w:hAnsiTheme="minorHAnsi" w:cstheme="minorHAnsi"/>
            <w:sz w:val="18"/>
            <w:szCs w:val="18"/>
          </w:rPr>
          <w:t>expertos independientes</w:t>
        </w:r>
      </w:hyperlink>
      <w:r w:rsidRPr="00633E6A">
        <w:rPr>
          <w:rFonts w:asciiTheme="minorHAnsi" w:hAnsiTheme="minorHAnsi" w:cstheme="minorHAnsi"/>
          <w:sz w:val="18"/>
          <w:szCs w:val="18"/>
        </w:rPr>
        <w:t xml:space="preserve"> </w:t>
      </w:r>
      <w:r w:rsidR="008F2C0D" w:rsidRPr="00633E6A">
        <w:rPr>
          <w:rFonts w:asciiTheme="minorHAnsi" w:hAnsiTheme="minorHAnsi" w:cstheme="minorHAnsi"/>
          <w:sz w:val="18"/>
          <w:szCs w:val="18"/>
        </w:rPr>
        <w:t xml:space="preserve">encargado de </w:t>
      </w:r>
      <w:r w:rsidRPr="00633E6A">
        <w:rPr>
          <w:rFonts w:asciiTheme="minorHAnsi" w:hAnsiTheme="minorHAnsi" w:cstheme="minorHAnsi"/>
          <w:sz w:val="18"/>
          <w:szCs w:val="18"/>
        </w:rPr>
        <w:t>supervisa</w:t>
      </w:r>
      <w:r w:rsidR="008F2C0D" w:rsidRPr="00633E6A">
        <w:rPr>
          <w:rFonts w:asciiTheme="minorHAnsi" w:hAnsiTheme="minorHAnsi" w:cstheme="minorHAnsi"/>
          <w:sz w:val="18"/>
          <w:szCs w:val="18"/>
        </w:rPr>
        <w:t>r</w:t>
      </w:r>
      <w:r w:rsidRPr="00633E6A">
        <w:rPr>
          <w:rFonts w:asciiTheme="minorHAnsi" w:hAnsiTheme="minorHAnsi" w:cstheme="minorHAnsi"/>
          <w:sz w:val="18"/>
          <w:szCs w:val="18"/>
        </w:rPr>
        <w:t xml:space="preserve"> la aplicación de</w:t>
      </w:r>
      <w:r w:rsidR="008F2C0D" w:rsidRPr="00633E6A">
        <w:rPr>
          <w:rFonts w:asciiTheme="minorHAnsi" w:hAnsiTheme="minorHAnsi" w:cstheme="minorHAnsi"/>
          <w:sz w:val="18"/>
          <w:szCs w:val="18"/>
        </w:rPr>
        <w:t xml:space="preserve"> los Estados Partes de</w:t>
      </w:r>
      <w:r w:rsidRPr="00633E6A">
        <w:rPr>
          <w:rFonts w:asciiTheme="minorHAnsi" w:hAnsiTheme="minorHAnsi" w:cstheme="minorHAnsi"/>
          <w:sz w:val="18"/>
          <w:szCs w:val="18"/>
        </w:rPr>
        <w:t xml:space="preserve">l </w:t>
      </w:r>
      <w:r w:rsidR="008F2C0D" w:rsidRPr="00633E6A">
        <w:rPr>
          <w:rFonts w:asciiTheme="minorHAnsi" w:hAnsiTheme="minorHAnsi" w:cstheme="minorHAnsi"/>
          <w:sz w:val="18"/>
          <w:szCs w:val="18"/>
        </w:rPr>
        <w:t xml:space="preserve">Pacto </w:t>
      </w:r>
      <w:r w:rsidRPr="00633E6A">
        <w:rPr>
          <w:rFonts w:asciiTheme="minorHAnsi" w:hAnsiTheme="minorHAnsi" w:cstheme="minorHAnsi"/>
          <w:sz w:val="18"/>
          <w:szCs w:val="18"/>
        </w:rPr>
        <w:t>por sus Estados Partes</w:t>
      </w:r>
      <w:r w:rsidR="00FD4028" w:rsidRPr="00633E6A">
        <w:rPr>
          <w:rFonts w:asciiTheme="minorHAnsi" w:hAnsiTheme="minorHAnsi" w:cstheme="minorHAnsi"/>
          <w:sz w:val="18"/>
          <w:szCs w:val="18"/>
        </w:rPr>
        <w:t xml:space="preserve">, de </w:t>
      </w:r>
      <w:hyperlink r:id="rId6" w:history="1">
        <w:r w:rsidR="008F2C0D" w:rsidRPr="00633E6A">
          <w:rPr>
            <w:rStyle w:val="Hipervnculo"/>
            <w:rFonts w:asciiTheme="minorHAnsi" w:hAnsiTheme="minorHAnsi" w:cstheme="minorHAnsi"/>
            <w:sz w:val="18"/>
            <w:szCs w:val="18"/>
          </w:rPr>
          <w:t>Pacto Internacional de Derechos Civiles y Políticos</w:t>
        </w:r>
      </w:hyperlink>
      <w:r w:rsidR="00946836" w:rsidRPr="00633E6A">
        <w:rPr>
          <w:rFonts w:asciiTheme="minorHAnsi" w:hAnsiTheme="minorHAnsi" w:cstheme="minorHAnsi"/>
          <w:sz w:val="18"/>
          <w:szCs w:val="18"/>
        </w:rPr>
        <w:t xml:space="preserve"> </w:t>
      </w:r>
    </w:p>
  </w:footnote>
  <w:footnote w:id="5">
    <w:p w:rsidR="002A57E9" w:rsidRPr="00633E6A" w:rsidRDefault="002A57E9" w:rsidP="00633E6A">
      <w:pPr>
        <w:pStyle w:val="Textonotapie"/>
        <w:rPr>
          <w:rFonts w:asciiTheme="minorHAnsi" w:hAnsiTheme="minorHAnsi" w:cstheme="minorHAnsi"/>
          <w:sz w:val="18"/>
          <w:szCs w:val="18"/>
        </w:rPr>
      </w:pPr>
      <w:r w:rsidRPr="00633E6A">
        <w:rPr>
          <w:rStyle w:val="Refdenotaalpie"/>
          <w:rFonts w:asciiTheme="minorHAnsi" w:hAnsiTheme="minorHAnsi" w:cstheme="minorHAnsi"/>
          <w:sz w:val="18"/>
          <w:szCs w:val="18"/>
        </w:rPr>
        <w:footnoteRef/>
      </w:r>
      <w:r w:rsidR="000F19CD" w:rsidRPr="00633E6A">
        <w:rPr>
          <w:rFonts w:asciiTheme="minorHAnsi" w:hAnsiTheme="minorHAnsi" w:cstheme="minorHAnsi"/>
          <w:sz w:val="18"/>
          <w:szCs w:val="18"/>
        </w:rPr>
        <w:t xml:space="preserve"> Párrafo 18 de la</w:t>
      </w:r>
      <w:r w:rsidRPr="00633E6A">
        <w:rPr>
          <w:rFonts w:asciiTheme="minorHAnsi" w:hAnsiTheme="minorHAnsi" w:cstheme="minorHAnsi"/>
          <w:sz w:val="18"/>
          <w:szCs w:val="18"/>
        </w:rPr>
        <w:t xml:space="preserve"> </w:t>
      </w:r>
      <w:r w:rsidR="000F19CD" w:rsidRPr="00633E6A">
        <w:rPr>
          <w:rFonts w:asciiTheme="minorHAnsi" w:hAnsiTheme="minorHAnsi" w:cstheme="minorHAnsi"/>
          <w:sz w:val="18"/>
          <w:szCs w:val="18"/>
        </w:rPr>
        <w:t xml:space="preserve">Opinión General 39 sobre el Articulo 19 del </w:t>
      </w:r>
      <w:hyperlink r:id="rId7" w:history="1">
        <w:r w:rsidR="000F19CD" w:rsidRPr="00633E6A">
          <w:rPr>
            <w:rStyle w:val="Hipervnculo"/>
            <w:rFonts w:asciiTheme="minorHAnsi" w:hAnsiTheme="minorHAnsi" w:cstheme="minorHAnsi"/>
            <w:sz w:val="18"/>
            <w:szCs w:val="18"/>
          </w:rPr>
          <w:t>Pacto Internacional de Derechos Civiles y Políticos</w:t>
        </w:r>
      </w:hyperlink>
      <w:r w:rsidR="000F19CD" w:rsidRPr="00633E6A">
        <w:rPr>
          <w:rFonts w:asciiTheme="minorHAnsi" w:hAnsiTheme="minorHAnsi" w:cstheme="minorHAnsi"/>
          <w:sz w:val="18"/>
          <w:szCs w:val="18"/>
        </w:rPr>
        <w:t xml:space="preserve"> por el Comité de Derechos Humanos de la Naciones Unidas</w:t>
      </w:r>
      <w:r w:rsidR="00AF579F" w:rsidRPr="00633E6A">
        <w:rPr>
          <w:rFonts w:asciiTheme="minorHAnsi" w:hAnsiTheme="minorHAnsi" w:cstheme="minorHAnsi"/>
          <w:sz w:val="18"/>
          <w:szCs w:val="18"/>
        </w:rPr>
        <w:t xml:space="preserve">. </w:t>
      </w:r>
    </w:p>
  </w:footnote>
  <w:footnote w:id="6">
    <w:p w:rsidR="001143E9" w:rsidRDefault="001143E9">
      <w:pPr>
        <w:pStyle w:val="Textonotapie"/>
      </w:pPr>
      <w:r>
        <w:rPr>
          <w:rStyle w:val="Refdenotaalpie"/>
        </w:rPr>
        <w:footnoteRef/>
      </w:r>
      <w:r>
        <w:t xml:space="preserve"> El análisis de la OSCE criticaba la exclusión de tipos de información: </w:t>
      </w:r>
      <w:hyperlink r:id="rId8" w:history="1">
        <w:r w:rsidRPr="00BE50B7">
          <w:rPr>
            <w:rStyle w:val="Hipervnculo"/>
          </w:rPr>
          <w:t>http://www.access-info.org/es/coalicion-pro-acceso/260-osce-spains-draft-transparency-law-insufficient</w:t>
        </w:r>
      </w:hyperlink>
      <w:r>
        <w:t xml:space="preserve"> </w:t>
      </w:r>
    </w:p>
  </w:footnote>
  <w:footnote w:id="7">
    <w:p w:rsidR="001143E9" w:rsidRDefault="001143E9">
      <w:pPr>
        <w:pStyle w:val="Textonotapie"/>
      </w:pPr>
      <w:r>
        <w:rPr>
          <w:rStyle w:val="Refdenotaalpie"/>
        </w:rPr>
        <w:footnoteRef/>
      </w:r>
      <w:r>
        <w:t xml:space="preserve"> El análisis de la OSCE también señalaba este problema con la motivación y hacía la misma recomendación.</w:t>
      </w:r>
    </w:p>
  </w:footnote>
  <w:footnote w:id="8">
    <w:p w:rsidR="001143E9" w:rsidRDefault="001143E9" w:rsidP="001143E9">
      <w:pPr>
        <w:pStyle w:val="Textonotapie"/>
      </w:pPr>
      <w:r>
        <w:rPr>
          <w:rStyle w:val="Refdenotaalpie"/>
        </w:rPr>
        <w:footnoteRef/>
      </w:r>
      <w:r>
        <w:t xml:space="preserve"> </w:t>
      </w:r>
      <w:r>
        <w:rPr>
          <w:rFonts w:ascii="Verdana" w:hAnsi="Verdana" w:cs="Verdana"/>
          <w:sz w:val="16"/>
          <w:szCs w:val="16"/>
        </w:rPr>
        <w:t>2006, Transparencia y Silencio: 61% de silencio; 2008, Cuando lo Público no es público: 35% de silencio y un 43% de contestaciones denegando el acceso; 2010, 6QC: puesto 66 de 80, 50% de silencio y ninguna información recibida; 2010, TUWYD: silencio ante las preguntas que ya hicieron y ahora están en juicio; 2011 La campaña de las 100 preguntas: 84% de las solicitudes no resueltas positivamente con un 42% de silencio; 2012, tuderechoasaber.es: Los resultados del primer informe advertían un 59% de silencio administrativo.</w:t>
      </w:r>
    </w:p>
    <w:p w:rsidR="001143E9" w:rsidRDefault="001143E9">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1E93"/>
    <w:multiLevelType w:val="multilevel"/>
    <w:tmpl w:val="6D06D79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6AA58E0"/>
    <w:multiLevelType w:val="multilevel"/>
    <w:tmpl w:val="B6CC4B1A"/>
    <w:lvl w:ilvl="0">
      <w:numFmt w:val="bullet"/>
      <w:lvlText w:val="-"/>
      <w:lvlJc w:val="left"/>
      <w:pPr>
        <w:ind w:left="644" w:hanging="360"/>
      </w:pPr>
      <w:rPr>
        <w:rFonts w:ascii="Verdana" w:eastAsia="Times New Roman" w:hAnsi="Verdana" w:cs="Times New Roman"/>
        <w:sz w:val="2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
    <w:nsid w:val="506E532C"/>
    <w:multiLevelType w:val="multilevel"/>
    <w:tmpl w:val="2CECCAA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38"/>
    <w:rsid w:val="00047215"/>
    <w:rsid w:val="000573CD"/>
    <w:rsid w:val="00077D59"/>
    <w:rsid w:val="00096869"/>
    <w:rsid w:val="000F19CD"/>
    <w:rsid w:val="00113D9B"/>
    <w:rsid w:val="001143E9"/>
    <w:rsid w:val="00141551"/>
    <w:rsid w:val="00173DA9"/>
    <w:rsid w:val="00181C00"/>
    <w:rsid w:val="001A1D9F"/>
    <w:rsid w:val="001B558E"/>
    <w:rsid w:val="001D1B4B"/>
    <w:rsid w:val="001D3438"/>
    <w:rsid w:val="00234BAE"/>
    <w:rsid w:val="00257E45"/>
    <w:rsid w:val="00283E83"/>
    <w:rsid w:val="002A1C82"/>
    <w:rsid w:val="002A57E9"/>
    <w:rsid w:val="002C4430"/>
    <w:rsid w:val="002D0FA9"/>
    <w:rsid w:val="002D34DA"/>
    <w:rsid w:val="002F3F22"/>
    <w:rsid w:val="00303146"/>
    <w:rsid w:val="00305C61"/>
    <w:rsid w:val="00306D41"/>
    <w:rsid w:val="00337479"/>
    <w:rsid w:val="00341AB9"/>
    <w:rsid w:val="00360C27"/>
    <w:rsid w:val="00380F17"/>
    <w:rsid w:val="003E4C3F"/>
    <w:rsid w:val="003E7EAD"/>
    <w:rsid w:val="003F260B"/>
    <w:rsid w:val="0042032D"/>
    <w:rsid w:val="004310DE"/>
    <w:rsid w:val="0045517F"/>
    <w:rsid w:val="00477BF3"/>
    <w:rsid w:val="004849C2"/>
    <w:rsid w:val="004901B3"/>
    <w:rsid w:val="004A2A3B"/>
    <w:rsid w:val="004A795E"/>
    <w:rsid w:val="004F292D"/>
    <w:rsid w:val="004F3D89"/>
    <w:rsid w:val="0052394C"/>
    <w:rsid w:val="005741B9"/>
    <w:rsid w:val="005A18B7"/>
    <w:rsid w:val="005A600B"/>
    <w:rsid w:val="005B58D1"/>
    <w:rsid w:val="005E0963"/>
    <w:rsid w:val="005F2853"/>
    <w:rsid w:val="005F5BCD"/>
    <w:rsid w:val="00605E7E"/>
    <w:rsid w:val="00612660"/>
    <w:rsid w:val="00633E6A"/>
    <w:rsid w:val="006718F1"/>
    <w:rsid w:val="0067799A"/>
    <w:rsid w:val="00696337"/>
    <w:rsid w:val="007240DE"/>
    <w:rsid w:val="00742EEF"/>
    <w:rsid w:val="00776008"/>
    <w:rsid w:val="0078643A"/>
    <w:rsid w:val="0079732D"/>
    <w:rsid w:val="007D29C7"/>
    <w:rsid w:val="007E3978"/>
    <w:rsid w:val="007F77F0"/>
    <w:rsid w:val="00802152"/>
    <w:rsid w:val="008062E7"/>
    <w:rsid w:val="00816D36"/>
    <w:rsid w:val="0088397F"/>
    <w:rsid w:val="008A032A"/>
    <w:rsid w:val="008D233D"/>
    <w:rsid w:val="008E639C"/>
    <w:rsid w:val="008F2C0D"/>
    <w:rsid w:val="008F683E"/>
    <w:rsid w:val="00913EFA"/>
    <w:rsid w:val="00944EB0"/>
    <w:rsid w:val="00945B7A"/>
    <w:rsid w:val="00946836"/>
    <w:rsid w:val="0097769D"/>
    <w:rsid w:val="00995FA1"/>
    <w:rsid w:val="009C301C"/>
    <w:rsid w:val="00A02103"/>
    <w:rsid w:val="00A12DDF"/>
    <w:rsid w:val="00AA1C9E"/>
    <w:rsid w:val="00AB38FE"/>
    <w:rsid w:val="00AC0734"/>
    <w:rsid w:val="00AF579F"/>
    <w:rsid w:val="00B72D93"/>
    <w:rsid w:val="00B96797"/>
    <w:rsid w:val="00BD677E"/>
    <w:rsid w:val="00C07FF1"/>
    <w:rsid w:val="00C262A9"/>
    <w:rsid w:val="00C87169"/>
    <w:rsid w:val="00C8745B"/>
    <w:rsid w:val="00CA6623"/>
    <w:rsid w:val="00CA7E2D"/>
    <w:rsid w:val="00CC222F"/>
    <w:rsid w:val="00D6177C"/>
    <w:rsid w:val="00DA6A81"/>
    <w:rsid w:val="00DB1183"/>
    <w:rsid w:val="00DC7888"/>
    <w:rsid w:val="00DD3FBF"/>
    <w:rsid w:val="00E1491C"/>
    <w:rsid w:val="00E746D5"/>
    <w:rsid w:val="00E77CD1"/>
    <w:rsid w:val="00E97278"/>
    <w:rsid w:val="00EA4DAA"/>
    <w:rsid w:val="00EB7921"/>
    <w:rsid w:val="00F51AEF"/>
    <w:rsid w:val="00F65623"/>
    <w:rsid w:val="00F87824"/>
    <w:rsid w:val="00FA298E"/>
    <w:rsid w:val="00FC3E20"/>
    <w:rsid w:val="00FD4028"/>
    <w:rsid w:val="00FE3A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after="200" w:line="276" w:lineRule="auto"/>
      <w:textAlignment w:val="baseline"/>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s-ES"/>
    </w:rPr>
  </w:style>
  <w:style w:type="paragraph" w:styleId="Prrafodelista">
    <w:name w:val="List Paragraph"/>
    <w:basedOn w:val="Normal"/>
    <w:pPr>
      <w:ind w:left="720"/>
    </w:pPr>
  </w:style>
  <w:style w:type="character" w:styleId="Hipervnculo">
    <w:name w:val="Hyperlink"/>
    <w:rPr>
      <w:color w:val="0000FF"/>
      <w:u w:val="single"/>
    </w:rPr>
  </w:style>
  <w:style w:type="character" w:styleId="Refdenotaalpie">
    <w:name w:val="footnote reference"/>
    <w:rPr>
      <w:position w:val="0"/>
      <w:vertAlign w:val="superscript"/>
    </w:rPr>
  </w:style>
  <w:style w:type="paragraph" w:styleId="Textonotapie">
    <w:name w:val="footnote text"/>
    <w:aliases w:val="5_G"/>
    <w:basedOn w:val="Normal"/>
    <w:link w:val="TextonotapieCar1"/>
    <w:pPr>
      <w:spacing w:after="0" w:line="240" w:lineRule="auto"/>
    </w:pPr>
    <w:rPr>
      <w:sz w:val="20"/>
      <w:szCs w:val="20"/>
    </w:rPr>
  </w:style>
  <w:style w:type="character" w:customStyle="1" w:styleId="TextonotapieCar">
    <w:name w:val="Texto nota pie Car"/>
    <w:rPr>
      <w:rFonts w:ascii="Calibri" w:eastAsia="Calibri" w:hAnsi="Calibri" w:cs="Times New Roman"/>
      <w:sz w:val="20"/>
      <w:szCs w:val="20"/>
    </w:rPr>
  </w:style>
  <w:style w:type="paragraph" w:customStyle="1" w:styleId="AIEFootnote">
    <w:name w:val="AIE Footnote"/>
    <w:basedOn w:val="Textonotapie"/>
    <w:autoRedefine/>
    <w:rsid w:val="00633E6A"/>
    <w:pPr>
      <w:jc w:val="both"/>
    </w:pPr>
    <w:rPr>
      <w:rFonts w:ascii="Trebuchet MS" w:eastAsia="Times New Roman" w:hAnsi="Trebuchet MS"/>
      <w:lang w:val="en-GB" w:eastAsia="en-GB"/>
    </w:rPr>
  </w:style>
  <w:style w:type="character" w:customStyle="1" w:styleId="Hyperlink2">
    <w:name w:val="Hyperlink2"/>
    <w:rPr>
      <w:color w:val="0B2DED"/>
      <w:sz w:val="20"/>
      <w:u w:val="single"/>
    </w:rPr>
  </w:style>
  <w:style w:type="character" w:styleId="nfasis">
    <w:name w:val="Emphasis"/>
    <w:rPr>
      <w:i/>
      <w:iCs/>
    </w:rPr>
  </w:style>
  <w:style w:type="character" w:styleId="Refdecomentario">
    <w:name w:val="annotation reference"/>
    <w:uiPriority w:val="99"/>
    <w:semiHidden/>
    <w:unhideWhenUsed/>
    <w:rsid w:val="005B58D1"/>
    <w:rPr>
      <w:sz w:val="16"/>
      <w:szCs w:val="16"/>
    </w:rPr>
  </w:style>
  <w:style w:type="paragraph" w:styleId="Textocomentario">
    <w:name w:val="annotation text"/>
    <w:basedOn w:val="Normal"/>
    <w:link w:val="TextocomentarioCar"/>
    <w:uiPriority w:val="99"/>
    <w:semiHidden/>
    <w:unhideWhenUsed/>
    <w:rsid w:val="005B58D1"/>
    <w:rPr>
      <w:sz w:val="20"/>
      <w:szCs w:val="20"/>
    </w:rPr>
  </w:style>
  <w:style w:type="character" w:customStyle="1" w:styleId="TextocomentarioCar">
    <w:name w:val="Texto comentario Car"/>
    <w:link w:val="Textocomentario"/>
    <w:uiPriority w:val="99"/>
    <w:semiHidden/>
    <w:rsid w:val="005B58D1"/>
    <w:rPr>
      <w:lang w:val="es-ES" w:eastAsia="en-US"/>
    </w:rPr>
  </w:style>
  <w:style w:type="paragraph" w:styleId="Asuntodelcomentario">
    <w:name w:val="annotation subject"/>
    <w:basedOn w:val="Textocomentario"/>
    <w:next w:val="Textocomentario"/>
    <w:link w:val="AsuntodelcomentarioCar"/>
    <w:uiPriority w:val="99"/>
    <w:semiHidden/>
    <w:unhideWhenUsed/>
    <w:rsid w:val="005B58D1"/>
    <w:rPr>
      <w:b/>
      <w:bCs/>
    </w:rPr>
  </w:style>
  <w:style w:type="character" w:customStyle="1" w:styleId="AsuntodelcomentarioCar">
    <w:name w:val="Asunto del comentario Car"/>
    <w:link w:val="Asuntodelcomentario"/>
    <w:uiPriority w:val="99"/>
    <w:semiHidden/>
    <w:rsid w:val="005B58D1"/>
    <w:rPr>
      <w:b/>
      <w:bCs/>
      <w:lang w:val="es-ES" w:eastAsia="en-US"/>
    </w:rPr>
  </w:style>
  <w:style w:type="paragraph" w:styleId="Textodeglobo">
    <w:name w:val="Balloon Text"/>
    <w:basedOn w:val="Normal"/>
    <w:link w:val="TextodegloboCar"/>
    <w:uiPriority w:val="99"/>
    <w:semiHidden/>
    <w:unhideWhenUsed/>
    <w:rsid w:val="005B58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B58D1"/>
    <w:rPr>
      <w:rFonts w:ascii="Tahoma" w:hAnsi="Tahoma" w:cs="Tahoma"/>
      <w:sz w:val="16"/>
      <w:szCs w:val="16"/>
      <w:lang w:val="es-ES" w:eastAsia="en-US"/>
    </w:rPr>
  </w:style>
  <w:style w:type="paragraph" w:customStyle="1" w:styleId="Default">
    <w:name w:val="Default"/>
    <w:rsid w:val="002A1C82"/>
    <w:pPr>
      <w:autoSpaceDE w:val="0"/>
      <w:autoSpaceDN w:val="0"/>
      <w:adjustRightInd w:val="0"/>
    </w:pPr>
    <w:rPr>
      <w:rFonts w:ascii="Times New Roman" w:hAnsi="Times New Roman"/>
      <w:color w:val="000000"/>
      <w:sz w:val="24"/>
      <w:szCs w:val="24"/>
      <w:lang w:val="es-ES" w:eastAsia="es-ES"/>
    </w:rPr>
  </w:style>
  <w:style w:type="character" w:styleId="Hipervnculovisitado">
    <w:name w:val="FollowedHyperlink"/>
    <w:uiPriority w:val="99"/>
    <w:semiHidden/>
    <w:unhideWhenUsed/>
    <w:rsid w:val="00FA298E"/>
    <w:rPr>
      <w:color w:val="800080"/>
      <w:u w:val="single"/>
    </w:rPr>
  </w:style>
  <w:style w:type="paragraph" w:customStyle="1" w:styleId="SingleTxtG">
    <w:name w:val="_ Single Txt_G"/>
    <w:basedOn w:val="Normal"/>
    <w:rsid w:val="00A02103"/>
    <w:pPr>
      <w:suppressAutoHyphens w:val="0"/>
      <w:autoSpaceDN/>
      <w:spacing w:after="120" w:line="240" w:lineRule="atLeast"/>
      <w:ind w:left="1134" w:right="1134"/>
      <w:jc w:val="both"/>
      <w:textAlignment w:val="auto"/>
    </w:pPr>
    <w:rPr>
      <w:rFonts w:ascii="Times New Roman" w:eastAsia="Times New Roman" w:hAnsi="Times New Roman"/>
      <w:sz w:val="20"/>
      <w:szCs w:val="20"/>
      <w:lang w:eastAsia="es-ES"/>
    </w:rPr>
  </w:style>
  <w:style w:type="character" w:customStyle="1" w:styleId="TextonotapieCar1">
    <w:name w:val="Texto nota pie Car1"/>
    <w:aliases w:val="5_G Car"/>
    <w:basedOn w:val="Fuentedeprrafopredeter"/>
    <w:link w:val="Textonotapie"/>
    <w:rsid w:val="00A02103"/>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N w:val="0"/>
      <w:spacing w:after="200" w:line="276" w:lineRule="auto"/>
      <w:textAlignment w:val="baseline"/>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s-ES"/>
    </w:rPr>
  </w:style>
  <w:style w:type="paragraph" w:styleId="Prrafodelista">
    <w:name w:val="List Paragraph"/>
    <w:basedOn w:val="Normal"/>
    <w:pPr>
      <w:ind w:left="720"/>
    </w:pPr>
  </w:style>
  <w:style w:type="character" w:styleId="Hipervnculo">
    <w:name w:val="Hyperlink"/>
    <w:rPr>
      <w:color w:val="0000FF"/>
      <w:u w:val="single"/>
    </w:rPr>
  </w:style>
  <w:style w:type="character" w:styleId="Refdenotaalpie">
    <w:name w:val="footnote reference"/>
    <w:rPr>
      <w:position w:val="0"/>
      <w:vertAlign w:val="superscript"/>
    </w:rPr>
  </w:style>
  <w:style w:type="paragraph" w:styleId="Textonotapie">
    <w:name w:val="footnote text"/>
    <w:aliases w:val="5_G"/>
    <w:basedOn w:val="Normal"/>
    <w:link w:val="TextonotapieCar1"/>
    <w:pPr>
      <w:spacing w:after="0" w:line="240" w:lineRule="auto"/>
    </w:pPr>
    <w:rPr>
      <w:sz w:val="20"/>
      <w:szCs w:val="20"/>
    </w:rPr>
  </w:style>
  <w:style w:type="character" w:customStyle="1" w:styleId="TextonotapieCar">
    <w:name w:val="Texto nota pie Car"/>
    <w:rPr>
      <w:rFonts w:ascii="Calibri" w:eastAsia="Calibri" w:hAnsi="Calibri" w:cs="Times New Roman"/>
      <w:sz w:val="20"/>
      <w:szCs w:val="20"/>
    </w:rPr>
  </w:style>
  <w:style w:type="paragraph" w:customStyle="1" w:styleId="AIEFootnote">
    <w:name w:val="AIE Footnote"/>
    <w:basedOn w:val="Textonotapie"/>
    <w:autoRedefine/>
    <w:rsid w:val="00633E6A"/>
    <w:pPr>
      <w:jc w:val="both"/>
    </w:pPr>
    <w:rPr>
      <w:rFonts w:ascii="Trebuchet MS" w:eastAsia="Times New Roman" w:hAnsi="Trebuchet MS"/>
      <w:lang w:val="en-GB" w:eastAsia="en-GB"/>
    </w:rPr>
  </w:style>
  <w:style w:type="character" w:customStyle="1" w:styleId="Hyperlink2">
    <w:name w:val="Hyperlink2"/>
    <w:rPr>
      <w:color w:val="0B2DED"/>
      <w:sz w:val="20"/>
      <w:u w:val="single"/>
    </w:rPr>
  </w:style>
  <w:style w:type="character" w:styleId="nfasis">
    <w:name w:val="Emphasis"/>
    <w:rPr>
      <w:i/>
      <w:iCs/>
    </w:rPr>
  </w:style>
  <w:style w:type="character" w:styleId="Refdecomentario">
    <w:name w:val="annotation reference"/>
    <w:uiPriority w:val="99"/>
    <w:semiHidden/>
    <w:unhideWhenUsed/>
    <w:rsid w:val="005B58D1"/>
    <w:rPr>
      <w:sz w:val="16"/>
      <w:szCs w:val="16"/>
    </w:rPr>
  </w:style>
  <w:style w:type="paragraph" w:styleId="Textocomentario">
    <w:name w:val="annotation text"/>
    <w:basedOn w:val="Normal"/>
    <w:link w:val="TextocomentarioCar"/>
    <w:uiPriority w:val="99"/>
    <w:semiHidden/>
    <w:unhideWhenUsed/>
    <w:rsid w:val="005B58D1"/>
    <w:rPr>
      <w:sz w:val="20"/>
      <w:szCs w:val="20"/>
    </w:rPr>
  </w:style>
  <w:style w:type="character" w:customStyle="1" w:styleId="TextocomentarioCar">
    <w:name w:val="Texto comentario Car"/>
    <w:link w:val="Textocomentario"/>
    <w:uiPriority w:val="99"/>
    <w:semiHidden/>
    <w:rsid w:val="005B58D1"/>
    <w:rPr>
      <w:lang w:val="es-ES" w:eastAsia="en-US"/>
    </w:rPr>
  </w:style>
  <w:style w:type="paragraph" w:styleId="Asuntodelcomentario">
    <w:name w:val="annotation subject"/>
    <w:basedOn w:val="Textocomentario"/>
    <w:next w:val="Textocomentario"/>
    <w:link w:val="AsuntodelcomentarioCar"/>
    <w:uiPriority w:val="99"/>
    <w:semiHidden/>
    <w:unhideWhenUsed/>
    <w:rsid w:val="005B58D1"/>
    <w:rPr>
      <w:b/>
      <w:bCs/>
    </w:rPr>
  </w:style>
  <w:style w:type="character" w:customStyle="1" w:styleId="AsuntodelcomentarioCar">
    <w:name w:val="Asunto del comentario Car"/>
    <w:link w:val="Asuntodelcomentario"/>
    <w:uiPriority w:val="99"/>
    <w:semiHidden/>
    <w:rsid w:val="005B58D1"/>
    <w:rPr>
      <w:b/>
      <w:bCs/>
      <w:lang w:val="es-ES" w:eastAsia="en-US"/>
    </w:rPr>
  </w:style>
  <w:style w:type="paragraph" w:styleId="Textodeglobo">
    <w:name w:val="Balloon Text"/>
    <w:basedOn w:val="Normal"/>
    <w:link w:val="TextodegloboCar"/>
    <w:uiPriority w:val="99"/>
    <w:semiHidden/>
    <w:unhideWhenUsed/>
    <w:rsid w:val="005B58D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B58D1"/>
    <w:rPr>
      <w:rFonts w:ascii="Tahoma" w:hAnsi="Tahoma" w:cs="Tahoma"/>
      <w:sz w:val="16"/>
      <w:szCs w:val="16"/>
      <w:lang w:val="es-ES" w:eastAsia="en-US"/>
    </w:rPr>
  </w:style>
  <w:style w:type="paragraph" w:customStyle="1" w:styleId="Default">
    <w:name w:val="Default"/>
    <w:rsid w:val="002A1C82"/>
    <w:pPr>
      <w:autoSpaceDE w:val="0"/>
      <w:autoSpaceDN w:val="0"/>
      <w:adjustRightInd w:val="0"/>
    </w:pPr>
    <w:rPr>
      <w:rFonts w:ascii="Times New Roman" w:hAnsi="Times New Roman"/>
      <w:color w:val="000000"/>
      <w:sz w:val="24"/>
      <w:szCs w:val="24"/>
      <w:lang w:val="es-ES" w:eastAsia="es-ES"/>
    </w:rPr>
  </w:style>
  <w:style w:type="character" w:styleId="Hipervnculovisitado">
    <w:name w:val="FollowedHyperlink"/>
    <w:uiPriority w:val="99"/>
    <w:semiHidden/>
    <w:unhideWhenUsed/>
    <w:rsid w:val="00FA298E"/>
    <w:rPr>
      <w:color w:val="800080"/>
      <w:u w:val="single"/>
    </w:rPr>
  </w:style>
  <w:style w:type="paragraph" w:customStyle="1" w:styleId="SingleTxtG">
    <w:name w:val="_ Single Txt_G"/>
    <w:basedOn w:val="Normal"/>
    <w:rsid w:val="00A02103"/>
    <w:pPr>
      <w:suppressAutoHyphens w:val="0"/>
      <w:autoSpaceDN/>
      <w:spacing w:after="120" w:line="240" w:lineRule="atLeast"/>
      <w:ind w:left="1134" w:right="1134"/>
      <w:jc w:val="both"/>
      <w:textAlignment w:val="auto"/>
    </w:pPr>
    <w:rPr>
      <w:rFonts w:ascii="Times New Roman" w:eastAsia="Times New Roman" w:hAnsi="Times New Roman"/>
      <w:sz w:val="20"/>
      <w:szCs w:val="20"/>
      <w:lang w:eastAsia="es-ES"/>
    </w:rPr>
  </w:style>
  <w:style w:type="character" w:customStyle="1" w:styleId="TextonotapieCar1">
    <w:name w:val="Texto nota pie Car1"/>
    <w:aliases w:val="5_G Car"/>
    <w:basedOn w:val="Fuentedeprrafopredeter"/>
    <w:link w:val="Textonotapie"/>
    <w:rsid w:val="00A02103"/>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access-info.org/es/coalicion-pro-acceso/260-osce-spains-draft-transparency-law-insufficient" TargetMode="External"/><Relationship Id="rId3" Type="http://schemas.openxmlformats.org/officeDocument/2006/relationships/hyperlink" Target="http://www.corteidh.or.cr/casos.cfm?idCaso=245" TargetMode="External"/><Relationship Id="rId7" Type="http://schemas.openxmlformats.org/officeDocument/2006/relationships/hyperlink" Target="http://www2.ohchr.org/spanish/law/ccpr.htm" TargetMode="External"/><Relationship Id="rId2" Type="http://schemas.openxmlformats.org/officeDocument/2006/relationships/hyperlink" Target="http://hudoc.echr.coe.int/sites/eng/pages/search.aspx?i=001-92663" TargetMode="External"/><Relationship Id="rId1" Type="http://schemas.openxmlformats.org/officeDocument/2006/relationships/hyperlink" Target="http://cmiskp.echr.coe.int/tkp197/view.asp?action=html&amp;documentId=849278&amp;portal=hbkm&amp;source=externalbydocnumber&amp;table=F69A27FD8FB86142BF01C1166DEA398649" TargetMode="External"/><Relationship Id="rId6" Type="http://schemas.openxmlformats.org/officeDocument/2006/relationships/hyperlink" Target="http://www2.ohchr.org/spanish/law/ccpr.htm" TargetMode="External"/><Relationship Id="rId5" Type="http://schemas.openxmlformats.org/officeDocument/2006/relationships/hyperlink" Target="http://www2.ohchr.org/english/bodies/hrc/members.htm" TargetMode="External"/><Relationship Id="rId4" Type="http://schemas.openxmlformats.org/officeDocument/2006/relationships/hyperlink" Target="http://www2.ohchr.org/spanish/law/cc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E9B2-E7DC-4AB1-8C9A-EE403B56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3078</Words>
  <Characters>16933</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19972</CharactersWithSpaces>
  <SharedDoc>false</SharedDoc>
  <HLinks>
    <vt:vector size="24" baseType="variant">
      <vt:variant>
        <vt:i4>7798882</vt:i4>
      </vt:variant>
      <vt:variant>
        <vt:i4>12</vt:i4>
      </vt:variant>
      <vt:variant>
        <vt:i4>0</vt:i4>
      </vt:variant>
      <vt:variant>
        <vt:i4>5</vt:i4>
      </vt:variant>
      <vt:variant>
        <vt:lpwstr>http://www.access-info.org/es/coalicion-pro-acceso/260-osce-spains-draft-transparency-law-insufficient</vt:lpwstr>
      </vt:variant>
      <vt:variant>
        <vt:lpwstr/>
      </vt:variant>
      <vt:variant>
        <vt:i4>7209083</vt:i4>
      </vt:variant>
      <vt:variant>
        <vt:i4>9</vt:i4>
      </vt:variant>
      <vt:variant>
        <vt:i4>0</vt:i4>
      </vt:variant>
      <vt:variant>
        <vt:i4>5</vt:i4>
      </vt:variant>
      <vt:variant>
        <vt:lpwstr>http://www2.ohchr.org/spanish/law/ccpr.htm</vt:lpwstr>
      </vt:variant>
      <vt:variant>
        <vt:lpwstr/>
      </vt:variant>
      <vt:variant>
        <vt:i4>4521991</vt:i4>
      </vt:variant>
      <vt:variant>
        <vt:i4>6</vt:i4>
      </vt:variant>
      <vt:variant>
        <vt:i4>0</vt:i4>
      </vt:variant>
      <vt:variant>
        <vt:i4>5</vt:i4>
      </vt:variant>
      <vt:variant>
        <vt:lpwstr>http://www2.ohchr.org/english/bodies/hrc/members.htm</vt:lpwstr>
      </vt:variant>
      <vt:variant>
        <vt:lpwstr/>
      </vt:variant>
      <vt:variant>
        <vt:i4>524292</vt:i4>
      </vt:variant>
      <vt:variant>
        <vt:i4>0</vt:i4>
      </vt:variant>
      <vt:variant>
        <vt:i4>0</vt:i4>
      </vt:variant>
      <vt:variant>
        <vt:i4>5</vt:i4>
      </vt:variant>
      <vt:variant>
        <vt:lpwstr>http://cmiskp.echr.coe.int/tkp197/view.asp?action=html&amp;documentId=849278&amp;portal=hbkm&amp;source=externalbydocnumber&amp;table=F69A27FD8FB86142BF01C1166DEA398649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3</cp:revision>
  <cp:lastPrinted>2012-08-31T10:53:00Z</cp:lastPrinted>
  <dcterms:created xsi:type="dcterms:W3CDTF">2012-08-31T10:49:00Z</dcterms:created>
  <dcterms:modified xsi:type="dcterms:W3CDTF">2012-08-31T10:53:00Z</dcterms:modified>
</cp:coreProperties>
</file>