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E8BF4" w14:textId="77777777" w:rsidR="00300C38" w:rsidRPr="00F27D99" w:rsidRDefault="00300C38" w:rsidP="00BF6333">
      <w:pPr>
        <w:jc w:val="center"/>
        <w:rPr>
          <w:rFonts w:eastAsia="Arial Unicode MS"/>
          <w:b/>
          <w:sz w:val="28"/>
          <w:u w:val="single"/>
          <w:lang w:val="en-GB"/>
        </w:rPr>
      </w:pPr>
    </w:p>
    <w:p w14:paraId="377BC0B8" w14:textId="77777777" w:rsidR="00300C38" w:rsidRPr="00F27D99" w:rsidRDefault="00300C38" w:rsidP="00BF6333">
      <w:pPr>
        <w:jc w:val="center"/>
        <w:rPr>
          <w:rFonts w:eastAsia="Arial Unicode MS"/>
          <w:b/>
          <w:sz w:val="28"/>
          <w:u w:val="single"/>
          <w:lang w:val="en-GB"/>
        </w:rPr>
      </w:pPr>
    </w:p>
    <w:p w14:paraId="219D2BB7" w14:textId="77777777" w:rsidR="00300C38" w:rsidRPr="00F27D99" w:rsidRDefault="00300C38" w:rsidP="00BF6333">
      <w:pPr>
        <w:jc w:val="center"/>
        <w:rPr>
          <w:rFonts w:eastAsia="Arial Unicode MS"/>
          <w:b/>
          <w:sz w:val="28"/>
          <w:u w:val="single"/>
          <w:lang w:val="en-GB"/>
        </w:rPr>
      </w:pPr>
    </w:p>
    <w:p w14:paraId="25A2BFEF" w14:textId="13284295" w:rsidR="0000567C" w:rsidRPr="00F27D99" w:rsidRDefault="0000567C" w:rsidP="0000567C">
      <w:pPr>
        <w:tabs>
          <w:tab w:val="center" w:pos="4252"/>
          <w:tab w:val="left" w:pos="5625"/>
        </w:tabs>
        <w:jc w:val="left"/>
        <w:rPr>
          <w:rFonts w:eastAsia="Arial Unicode MS"/>
          <w:b/>
          <w:lang w:val="en-GB"/>
        </w:rPr>
      </w:pPr>
      <w:r w:rsidRPr="00F27D99">
        <w:rPr>
          <w:rFonts w:eastAsia="Arial Unicode MS"/>
          <w:b/>
          <w:lang w:val="en-GB"/>
        </w:rPr>
        <w:tab/>
      </w:r>
      <w:r w:rsidR="00EC6AD9">
        <w:rPr>
          <w:rFonts w:eastAsia="Arial Unicode MS"/>
          <w:b/>
          <w:sz w:val="48"/>
          <w:lang w:val="en-GB"/>
        </w:rPr>
        <w:t>COM</w:t>
      </w:r>
      <w:r w:rsidR="00ED05A7">
        <w:rPr>
          <w:rFonts w:eastAsia="Arial Unicode MS"/>
          <w:b/>
          <w:sz w:val="48"/>
          <w:lang w:val="en-GB"/>
        </w:rPr>
        <w:t>P</w:t>
      </w:r>
      <w:bookmarkStart w:id="0" w:name="_GoBack"/>
      <w:bookmarkEnd w:id="0"/>
      <w:r w:rsidR="00EC6AD9">
        <w:rPr>
          <w:rFonts w:eastAsia="Arial Unicode MS"/>
          <w:b/>
          <w:sz w:val="48"/>
          <w:lang w:val="en-GB"/>
        </w:rPr>
        <w:t>LAINT</w:t>
      </w:r>
    </w:p>
    <w:p w14:paraId="6FA9ECFE" w14:textId="77777777" w:rsidR="0000567C" w:rsidRPr="00F27D99" w:rsidRDefault="0000567C" w:rsidP="0000567C">
      <w:pPr>
        <w:tabs>
          <w:tab w:val="center" w:pos="4252"/>
          <w:tab w:val="left" w:pos="5625"/>
        </w:tabs>
        <w:jc w:val="left"/>
        <w:rPr>
          <w:rFonts w:eastAsia="Arial Unicode MS"/>
          <w:b/>
          <w:lang w:val="en-GB"/>
        </w:rPr>
      </w:pPr>
    </w:p>
    <w:p w14:paraId="64F5BCD0" w14:textId="77777777" w:rsidR="0000567C" w:rsidRPr="00F27D99" w:rsidRDefault="0000567C" w:rsidP="0000567C">
      <w:pPr>
        <w:tabs>
          <w:tab w:val="center" w:pos="4252"/>
          <w:tab w:val="left" w:pos="5625"/>
        </w:tabs>
        <w:jc w:val="left"/>
        <w:rPr>
          <w:rFonts w:eastAsia="Arial Unicode MS"/>
          <w:b/>
          <w:lang w:val="en-GB"/>
        </w:rPr>
      </w:pPr>
    </w:p>
    <w:p w14:paraId="4259712C" w14:textId="77777777" w:rsidR="00BF6333" w:rsidRPr="00F27D99" w:rsidRDefault="00BF6333" w:rsidP="00BF6333">
      <w:pPr>
        <w:jc w:val="center"/>
        <w:rPr>
          <w:rFonts w:eastAsia="Arial Unicode MS"/>
          <w:b/>
          <w:lang w:val="en-GB"/>
        </w:rPr>
      </w:pPr>
      <w:r w:rsidRPr="00F27D99">
        <w:rPr>
          <w:rFonts w:eastAsia="Arial Unicode MS"/>
          <w:b/>
          <w:lang w:val="en-GB"/>
        </w:rPr>
        <w:t xml:space="preserve">MALADMINISTRATION </w:t>
      </w:r>
      <w:r w:rsidR="00B83A11" w:rsidRPr="00F27D99">
        <w:rPr>
          <w:rFonts w:eastAsia="Arial Unicode MS"/>
          <w:b/>
          <w:lang w:val="en-GB"/>
        </w:rPr>
        <w:t xml:space="preserve">COMPLAINT </w:t>
      </w:r>
      <w:r w:rsidRPr="00F27D99">
        <w:rPr>
          <w:rFonts w:eastAsia="Arial Unicode MS"/>
          <w:b/>
          <w:lang w:val="en-GB"/>
        </w:rPr>
        <w:t>TO THE EUROPEAN OMBUDSMAN</w:t>
      </w:r>
    </w:p>
    <w:p w14:paraId="7C577741" w14:textId="77777777" w:rsidR="004916D3" w:rsidRPr="00F27D99" w:rsidRDefault="00C478C1" w:rsidP="00BF6333">
      <w:pPr>
        <w:jc w:val="center"/>
        <w:rPr>
          <w:rFonts w:eastAsia="Arial Unicode MS"/>
          <w:b/>
          <w:lang w:val="en-GB"/>
        </w:rPr>
      </w:pPr>
      <w:r w:rsidRPr="00F27D99">
        <w:rPr>
          <w:rFonts w:eastAsia="Arial Unicode MS"/>
          <w:b/>
          <w:lang w:val="en-GB"/>
        </w:rPr>
        <w:t>REF: GESTDEM 2016/2791</w:t>
      </w:r>
    </w:p>
    <w:p w14:paraId="4286E363" w14:textId="77777777" w:rsidR="00BF6333" w:rsidRPr="00F27D99" w:rsidRDefault="00BF6333" w:rsidP="00BF6333">
      <w:pPr>
        <w:rPr>
          <w:rFonts w:eastAsia="Arial Unicode MS"/>
          <w:lang w:val="en-GB"/>
        </w:rPr>
      </w:pPr>
    </w:p>
    <w:p w14:paraId="4BCE20A9" w14:textId="77777777" w:rsidR="00300C38" w:rsidRPr="00F27D99" w:rsidRDefault="00300C38" w:rsidP="00BF6333">
      <w:pPr>
        <w:rPr>
          <w:rFonts w:eastAsia="Arial Unicode MS"/>
          <w:lang w:val="en-GB"/>
        </w:rPr>
      </w:pPr>
    </w:p>
    <w:p w14:paraId="3DC7C91D" w14:textId="77777777" w:rsidR="00300C38" w:rsidRPr="00F27D99" w:rsidRDefault="00300C38" w:rsidP="00BF6333">
      <w:pPr>
        <w:rPr>
          <w:rFonts w:eastAsia="Arial Unicode MS"/>
          <w:lang w:val="en-GB"/>
        </w:rPr>
      </w:pPr>
    </w:p>
    <w:p w14:paraId="347B2F95" w14:textId="1BA4CDF0" w:rsidR="00BF6333" w:rsidRPr="00F27D99" w:rsidRDefault="00BF6333" w:rsidP="00BF6333">
      <w:pPr>
        <w:jc w:val="center"/>
        <w:rPr>
          <w:rFonts w:eastAsia="Arial Unicode MS"/>
          <w:i/>
          <w:lang w:val="en-GB"/>
        </w:rPr>
      </w:pPr>
      <w:r w:rsidRPr="00F27D99">
        <w:rPr>
          <w:rFonts w:eastAsia="Arial Unicode MS"/>
          <w:i/>
          <w:lang w:val="en-GB"/>
        </w:rPr>
        <w:t>Submitted by Helen Darbishire</w:t>
      </w:r>
      <w:r w:rsidR="00300C38" w:rsidRPr="00F27D99">
        <w:rPr>
          <w:rFonts w:eastAsia="Arial Unicode MS"/>
          <w:i/>
          <w:lang w:val="en-GB"/>
        </w:rPr>
        <w:t xml:space="preserve">, Madrid, </w:t>
      </w:r>
      <w:r w:rsidR="00181DC7" w:rsidRPr="00181DC7">
        <w:rPr>
          <w:rFonts w:eastAsia="Arial Unicode MS"/>
          <w:i/>
          <w:lang w:val="en-GB"/>
        </w:rPr>
        <w:t xml:space="preserve">4 </w:t>
      </w:r>
      <w:r w:rsidR="00E051EF" w:rsidRPr="00181DC7">
        <w:rPr>
          <w:rFonts w:eastAsia="Arial Unicode MS"/>
          <w:i/>
          <w:lang w:val="en-GB"/>
        </w:rPr>
        <w:t>July</w:t>
      </w:r>
      <w:r w:rsidR="00300C38" w:rsidRPr="00181DC7">
        <w:rPr>
          <w:rFonts w:eastAsia="Arial Unicode MS"/>
          <w:i/>
          <w:lang w:val="en-GB"/>
        </w:rPr>
        <w:t xml:space="preserve"> 2017</w:t>
      </w:r>
    </w:p>
    <w:p w14:paraId="74DD3CFE" w14:textId="77777777" w:rsidR="002D5177" w:rsidRPr="00F27D99" w:rsidRDefault="002D5177" w:rsidP="002D5177">
      <w:pPr>
        <w:rPr>
          <w:rFonts w:eastAsia="Arial Unicode MS"/>
          <w:lang w:val="en-GB"/>
        </w:rPr>
      </w:pPr>
    </w:p>
    <w:p w14:paraId="6679E29E" w14:textId="77777777" w:rsidR="00300C38" w:rsidRPr="00F27D99" w:rsidRDefault="00300C38">
      <w:pPr>
        <w:spacing w:after="0"/>
        <w:jc w:val="left"/>
        <w:rPr>
          <w:rFonts w:eastAsia="Arial Unicode MS"/>
          <w:b/>
          <w:lang w:val="en-GB"/>
        </w:rPr>
      </w:pPr>
      <w:r w:rsidRPr="00F27D99">
        <w:rPr>
          <w:rFonts w:eastAsia="Arial Unicode MS"/>
          <w:b/>
          <w:lang w:val="en-GB"/>
        </w:rPr>
        <w:br w:type="page"/>
      </w:r>
    </w:p>
    <w:p w14:paraId="6CF7BB76" w14:textId="77777777" w:rsidR="00BF6333" w:rsidRPr="00F27D99" w:rsidRDefault="00BF6333" w:rsidP="002D5177">
      <w:pPr>
        <w:pStyle w:val="ListParagraph"/>
        <w:numPr>
          <w:ilvl w:val="0"/>
          <w:numId w:val="18"/>
        </w:numPr>
        <w:rPr>
          <w:rFonts w:eastAsia="Arial Unicode MS"/>
          <w:b/>
          <w:lang w:val="en-GB"/>
        </w:rPr>
      </w:pPr>
      <w:r w:rsidRPr="00F27D99">
        <w:rPr>
          <w:rFonts w:eastAsia="Arial Unicode MS"/>
          <w:b/>
          <w:lang w:val="en-GB"/>
        </w:rPr>
        <w:lastRenderedPageBreak/>
        <w:t>FACTUAL BACKGROUND</w:t>
      </w:r>
    </w:p>
    <w:p w14:paraId="76DF8591" w14:textId="77777777" w:rsidR="00BF6333" w:rsidRPr="00F27D99" w:rsidRDefault="00BF6333" w:rsidP="002D5177">
      <w:pPr>
        <w:pStyle w:val="ListParagraph"/>
        <w:numPr>
          <w:ilvl w:val="0"/>
          <w:numId w:val="16"/>
        </w:numPr>
        <w:spacing w:line="360" w:lineRule="auto"/>
        <w:rPr>
          <w:lang w:val="en-GB"/>
        </w:rPr>
      </w:pPr>
      <w:r w:rsidRPr="00F27D99">
        <w:rPr>
          <w:lang w:val="en-GB"/>
        </w:rPr>
        <w:t>On 17 May 2016, I requested, “</w:t>
      </w:r>
      <w:r w:rsidRPr="00F27D99">
        <w:rPr>
          <w:i/>
          <w:lang w:val="en-GB"/>
        </w:rPr>
        <w:t>full access to the Legal Advice generated by and/or provided to the Commission regarding the lobby register, including any and all legal advice that considers the treaty basis for the register and whether or not it could be mandatory. There is an overriding public interest in having this legal advice made public at this time, given the ongoing debate about the future of the lobby register, including the public consultation currently under way. This information is needed, inter alia, for citizens, civil society groups (including the organisation that I represent), and other stakeholders to participate fully in the debate about the nature of the register, as well as to ensure transparency of the decision-making process related to it so that public officials can be held to account over the eventual decisions made about the register.</w:t>
      </w:r>
      <w:r w:rsidRPr="00F27D99">
        <w:rPr>
          <w:lang w:val="en-GB"/>
        </w:rPr>
        <w:t>”</w:t>
      </w:r>
      <w:r w:rsidR="00496A93" w:rsidRPr="00F27D99">
        <w:rPr>
          <w:rStyle w:val="FootnoteReference"/>
          <w:lang w:val="en-GB"/>
        </w:rPr>
        <w:footnoteReference w:id="1"/>
      </w:r>
    </w:p>
    <w:p w14:paraId="7813F47F" w14:textId="77777777" w:rsidR="00BF6333" w:rsidRPr="00F27D99" w:rsidRDefault="00BF6333" w:rsidP="002D5177">
      <w:pPr>
        <w:pStyle w:val="ListParagraph"/>
        <w:numPr>
          <w:ilvl w:val="0"/>
          <w:numId w:val="16"/>
        </w:numPr>
        <w:spacing w:line="360" w:lineRule="auto"/>
        <w:rPr>
          <w:lang w:val="en-GB"/>
        </w:rPr>
      </w:pPr>
      <w:r w:rsidRPr="00F27D99">
        <w:rPr>
          <w:lang w:val="en-GB"/>
        </w:rPr>
        <w:t xml:space="preserve">My request was registered by the </w:t>
      </w:r>
      <w:r w:rsidR="00793A60" w:rsidRPr="00F27D99">
        <w:rPr>
          <w:lang w:val="en-GB"/>
        </w:rPr>
        <w:t xml:space="preserve">European </w:t>
      </w:r>
      <w:r w:rsidRPr="00F27D99">
        <w:rPr>
          <w:lang w:val="en-GB"/>
        </w:rPr>
        <w:t>Commission</w:t>
      </w:r>
      <w:r w:rsidR="00793A60" w:rsidRPr="00F27D99">
        <w:rPr>
          <w:lang w:val="en-GB"/>
        </w:rPr>
        <w:t xml:space="preserve"> (“Commission”)</w:t>
      </w:r>
      <w:r w:rsidRPr="00F27D99">
        <w:rPr>
          <w:lang w:val="en-GB"/>
        </w:rPr>
        <w:t xml:space="preserve"> on 19 May 2016, following confirmation of my postal address, under reference number </w:t>
      </w:r>
      <w:proofErr w:type="spellStart"/>
      <w:r w:rsidRPr="00F27D99">
        <w:rPr>
          <w:lang w:val="en-GB"/>
        </w:rPr>
        <w:t>GestDem</w:t>
      </w:r>
      <w:proofErr w:type="spellEnd"/>
      <w:r w:rsidRPr="00F27D99">
        <w:rPr>
          <w:lang w:val="en-GB"/>
        </w:rPr>
        <w:t xml:space="preserve"> 2016/2791.</w:t>
      </w:r>
    </w:p>
    <w:p w14:paraId="3097B0D6" w14:textId="77777777" w:rsidR="00BF6333" w:rsidRPr="00F27D99" w:rsidRDefault="00BF6333" w:rsidP="002D5177">
      <w:pPr>
        <w:pStyle w:val="ListParagraph"/>
        <w:numPr>
          <w:ilvl w:val="0"/>
          <w:numId w:val="16"/>
        </w:numPr>
        <w:spacing w:line="360" w:lineRule="auto"/>
        <w:rPr>
          <w:lang w:val="en-GB"/>
        </w:rPr>
      </w:pPr>
      <w:r w:rsidRPr="00F27D99">
        <w:rPr>
          <w:lang w:val="en-GB"/>
        </w:rPr>
        <w:t xml:space="preserve">The deadline to answer my request was extended by 15 working days by the Commission on 9 June 2016. On 30 June 2016, the deadline to answer my request was extended by another 15 working days by the Commission. On 18 July 2016, following </w:t>
      </w:r>
      <w:r w:rsidR="000D0163" w:rsidRPr="00F27D99">
        <w:rPr>
          <w:lang w:val="en-GB"/>
        </w:rPr>
        <w:t>a telephone</w:t>
      </w:r>
      <w:r w:rsidRPr="00F27D99">
        <w:rPr>
          <w:lang w:val="en-GB"/>
        </w:rPr>
        <w:t xml:space="preserve"> conservation with Commission officials, I was told my request would be answered “</w:t>
      </w:r>
      <w:r w:rsidRPr="00F27D99">
        <w:rPr>
          <w:i/>
          <w:lang w:val="en-GB"/>
        </w:rPr>
        <w:t>by the end of this week</w:t>
      </w:r>
      <w:r w:rsidRPr="00F27D99">
        <w:rPr>
          <w:lang w:val="en-GB"/>
        </w:rPr>
        <w:t xml:space="preserve">”. </w:t>
      </w:r>
    </w:p>
    <w:p w14:paraId="4667CF98" w14:textId="77777777" w:rsidR="00BF6333" w:rsidRPr="00F27D99" w:rsidRDefault="00BF6333" w:rsidP="002D5177">
      <w:pPr>
        <w:pStyle w:val="ListParagraph"/>
        <w:numPr>
          <w:ilvl w:val="0"/>
          <w:numId w:val="16"/>
        </w:numPr>
        <w:spacing w:line="360" w:lineRule="auto"/>
        <w:rPr>
          <w:lang w:val="en-GB"/>
        </w:rPr>
      </w:pPr>
      <w:r w:rsidRPr="00F27D99">
        <w:rPr>
          <w:lang w:val="en-GB"/>
        </w:rPr>
        <w:t>On 26 July 2016, I finally received an answer to my initial request of 17 May 2016. In it, I was told the following documents had been identified as fulfilling the criteria of my request:</w:t>
      </w:r>
    </w:p>
    <w:p w14:paraId="1793C97F" w14:textId="77777777" w:rsidR="00BF6333" w:rsidRPr="00F27D99" w:rsidRDefault="00BF6333" w:rsidP="002D5177">
      <w:pPr>
        <w:pStyle w:val="ListParagraph"/>
        <w:numPr>
          <w:ilvl w:val="0"/>
          <w:numId w:val="17"/>
        </w:numPr>
        <w:spacing w:line="360" w:lineRule="auto"/>
        <w:rPr>
          <w:lang w:val="en-GB"/>
        </w:rPr>
      </w:pPr>
      <w:r w:rsidRPr="00F27D99">
        <w:rPr>
          <w:lang w:val="en-GB"/>
        </w:rPr>
        <w:t>Note of the Legal Service to the Secretary General of 12 September 2006 (reference JUR(2006)30417) (“document 1”).</w:t>
      </w:r>
    </w:p>
    <w:p w14:paraId="1BA5C75C" w14:textId="77777777" w:rsidR="00BF6333" w:rsidRPr="00F27D99" w:rsidRDefault="00BF6333" w:rsidP="002D5177">
      <w:pPr>
        <w:pStyle w:val="ListParagraph"/>
        <w:numPr>
          <w:ilvl w:val="0"/>
          <w:numId w:val="17"/>
        </w:numPr>
        <w:spacing w:line="360" w:lineRule="auto"/>
        <w:rPr>
          <w:lang w:val="en-GB"/>
        </w:rPr>
      </w:pPr>
      <w:r w:rsidRPr="00F27D99">
        <w:rPr>
          <w:lang w:val="en-GB"/>
        </w:rPr>
        <w:lastRenderedPageBreak/>
        <w:t>Note of the Legal Service to the Secretariat General of 17 September 2007 (reference JUR(2007)30478) (“document 2”).</w:t>
      </w:r>
    </w:p>
    <w:p w14:paraId="41DDCD11" w14:textId="77777777" w:rsidR="00BF6333" w:rsidRPr="00F27D99" w:rsidRDefault="00BF6333" w:rsidP="002D5177">
      <w:pPr>
        <w:pStyle w:val="ListParagraph"/>
        <w:numPr>
          <w:ilvl w:val="0"/>
          <w:numId w:val="17"/>
        </w:numPr>
        <w:spacing w:line="360" w:lineRule="auto"/>
        <w:rPr>
          <w:lang w:val="en-GB"/>
        </w:rPr>
      </w:pPr>
      <w:r w:rsidRPr="00F27D99">
        <w:rPr>
          <w:lang w:val="en-GB"/>
        </w:rPr>
        <w:t xml:space="preserve">Note of the Legal Service to the Head of Cabinet of Vice-President Maroš </w:t>
      </w:r>
      <w:proofErr w:type="spellStart"/>
      <w:r w:rsidRPr="00F27D99">
        <w:rPr>
          <w:lang w:val="en-GB"/>
        </w:rPr>
        <w:t>Šefcovič</w:t>
      </w:r>
      <w:proofErr w:type="spellEnd"/>
      <w:r w:rsidRPr="00F27D99">
        <w:rPr>
          <w:lang w:val="en-GB"/>
        </w:rPr>
        <w:t xml:space="preserve"> of 2 October 2013 (reference Ares(2013)3191712) (“document 3”).</w:t>
      </w:r>
    </w:p>
    <w:p w14:paraId="7510EB4D" w14:textId="77777777" w:rsidR="00BF6333" w:rsidRPr="00F27D99" w:rsidRDefault="00793A60" w:rsidP="002D5177">
      <w:pPr>
        <w:pStyle w:val="ListParagraph"/>
        <w:numPr>
          <w:ilvl w:val="0"/>
          <w:numId w:val="16"/>
        </w:numPr>
        <w:spacing w:line="360" w:lineRule="auto"/>
        <w:rPr>
          <w:i/>
          <w:lang w:val="en-GB"/>
        </w:rPr>
      </w:pPr>
      <w:r w:rsidRPr="00F27D99">
        <w:rPr>
          <w:lang w:val="en-GB"/>
        </w:rPr>
        <w:t xml:space="preserve">The Commission stated </w:t>
      </w:r>
      <w:r w:rsidR="00BF6333" w:rsidRPr="00F27D99">
        <w:rPr>
          <w:lang w:val="en-GB"/>
        </w:rPr>
        <w:t>that, “</w:t>
      </w:r>
      <w:r w:rsidR="00BF6333" w:rsidRPr="00F27D99">
        <w:rPr>
          <w:i/>
          <w:lang w:val="en-GB"/>
        </w:rPr>
        <w:t>After a concrete assessment of the concerned documents, I have come to the conclusion that partial access can be granted to all documents. As regards the withheld parts, I regret to inform you that they are covered by three of the exceptions provided for in Regulation (EC) No 1049/2001. More precisely, the expunged parts are covered by the exceptions provided for in Article 4(2) second indent ("protection of legal advice"), i</w:t>
      </w:r>
      <w:r w:rsidR="00496A93" w:rsidRPr="00F27D99">
        <w:rPr>
          <w:i/>
          <w:lang w:val="en-GB"/>
        </w:rPr>
        <w:t>n Article 4(3) first paragraph (</w:t>
      </w:r>
      <w:r w:rsidR="00BF6333" w:rsidRPr="00F27D99">
        <w:rPr>
          <w:i/>
          <w:lang w:val="en-GB"/>
        </w:rPr>
        <w:t>"protection of the decision-maki</w:t>
      </w:r>
      <w:r w:rsidR="000D0163" w:rsidRPr="00F27D99">
        <w:rPr>
          <w:i/>
          <w:lang w:val="en-GB"/>
        </w:rPr>
        <w:t>ng process") and in Article 4(1</w:t>
      </w:r>
      <w:r w:rsidR="00496A93" w:rsidRPr="00F27D99">
        <w:rPr>
          <w:i/>
          <w:lang w:val="en-GB"/>
        </w:rPr>
        <w:t>)(b) (</w:t>
      </w:r>
      <w:r w:rsidR="00BF6333" w:rsidRPr="00F27D99">
        <w:rPr>
          <w:i/>
          <w:lang w:val="en-GB"/>
        </w:rPr>
        <w:t>"protection of personal data').”</w:t>
      </w:r>
      <w:r w:rsidR="00496A93" w:rsidRPr="00F27D99">
        <w:rPr>
          <w:rStyle w:val="FootnoteReference"/>
          <w:i/>
          <w:lang w:val="en-GB"/>
        </w:rPr>
        <w:footnoteReference w:id="2"/>
      </w:r>
    </w:p>
    <w:p w14:paraId="251FD8EB" w14:textId="0D9DC751" w:rsidR="00496A93" w:rsidRPr="00F27D99" w:rsidRDefault="009F0BF8" w:rsidP="002D5177">
      <w:pPr>
        <w:pStyle w:val="ListParagraph"/>
        <w:numPr>
          <w:ilvl w:val="0"/>
          <w:numId w:val="16"/>
        </w:numPr>
        <w:spacing w:line="360" w:lineRule="auto"/>
        <w:rPr>
          <w:lang w:val="en-GB"/>
        </w:rPr>
      </w:pPr>
      <w:r w:rsidRPr="00F27D99">
        <w:rPr>
          <w:lang w:val="en-GB"/>
        </w:rPr>
        <w:t>Dissatisfied with the Commission’s response,</w:t>
      </w:r>
      <w:r w:rsidR="00793A60" w:rsidRPr="00F27D99">
        <w:rPr>
          <w:lang w:val="en-GB"/>
        </w:rPr>
        <w:t xml:space="preserve"> </w:t>
      </w:r>
      <w:r w:rsidR="00BF6333" w:rsidRPr="00F27D99">
        <w:rPr>
          <w:lang w:val="en-GB"/>
        </w:rPr>
        <w:t>I submitted a confirmatory application on 18 August 2016 challenging the application of Article 4(2)</w:t>
      </w:r>
      <w:r w:rsidR="00793A60" w:rsidRPr="00F27D99">
        <w:rPr>
          <w:lang w:val="en-GB"/>
        </w:rPr>
        <w:t>, second indent,</w:t>
      </w:r>
      <w:r w:rsidR="00BF6333" w:rsidRPr="00F27D99">
        <w:rPr>
          <w:lang w:val="en-GB"/>
        </w:rPr>
        <w:t xml:space="preserve"> on the protection of legal advice and Article 4(3)</w:t>
      </w:r>
      <w:r w:rsidR="00793A60" w:rsidRPr="00F27D99">
        <w:rPr>
          <w:lang w:val="en-GB"/>
        </w:rPr>
        <w:t>, first paragraph,</w:t>
      </w:r>
      <w:r w:rsidR="00BF6333" w:rsidRPr="00F27D99">
        <w:rPr>
          <w:lang w:val="en-GB"/>
        </w:rPr>
        <w:t xml:space="preserve"> on protection of the Commission’s decision-making process, and by providing overriding interests in disclosure.</w:t>
      </w:r>
      <w:r w:rsidR="00496A93" w:rsidRPr="00F27D99">
        <w:rPr>
          <w:rStyle w:val="FootnoteReference"/>
          <w:lang w:val="en-GB"/>
        </w:rPr>
        <w:footnoteReference w:id="3"/>
      </w:r>
      <w:r w:rsidR="00BF6333" w:rsidRPr="00F27D99">
        <w:rPr>
          <w:lang w:val="en-GB"/>
        </w:rPr>
        <w:t xml:space="preserve"> I also commented on the infringement of Articles 7(1) and 7(3). </w:t>
      </w:r>
    </w:p>
    <w:p w14:paraId="51D1713B" w14:textId="77777777" w:rsidR="00BF6333" w:rsidRPr="00F27D99" w:rsidRDefault="00BF6333" w:rsidP="002D5177">
      <w:pPr>
        <w:pStyle w:val="ListParagraph"/>
        <w:numPr>
          <w:ilvl w:val="0"/>
          <w:numId w:val="16"/>
        </w:numPr>
        <w:spacing w:line="360" w:lineRule="auto"/>
        <w:rPr>
          <w:lang w:val="en-GB"/>
        </w:rPr>
      </w:pPr>
      <w:r w:rsidRPr="00F27D99">
        <w:rPr>
          <w:lang w:val="en-GB"/>
        </w:rPr>
        <w:t xml:space="preserve">On 25 August 2016, the Commission acknowledged it had received my confirmatory application of 18 August 2016, and that it was going to handle my application in 15 working days. </w:t>
      </w:r>
    </w:p>
    <w:p w14:paraId="6AF1D7AC" w14:textId="77777777" w:rsidR="00BF6333" w:rsidRPr="00F27D99" w:rsidRDefault="00BF6333" w:rsidP="002D5177">
      <w:pPr>
        <w:pStyle w:val="ListParagraph"/>
        <w:numPr>
          <w:ilvl w:val="0"/>
          <w:numId w:val="16"/>
        </w:numPr>
        <w:spacing w:line="360" w:lineRule="auto"/>
        <w:rPr>
          <w:lang w:val="en-GB"/>
        </w:rPr>
      </w:pPr>
      <w:r w:rsidRPr="00F27D99">
        <w:rPr>
          <w:lang w:val="en-GB"/>
        </w:rPr>
        <w:lastRenderedPageBreak/>
        <w:t xml:space="preserve">On 15 September 2016, I received a letter applying an extension to the original deadline. </w:t>
      </w:r>
    </w:p>
    <w:p w14:paraId="5AEBC942" w14:textId="77777777" w:rsidR="002D5177" w:rsidRPr="00F27D99" w:rsidRDefault="00496A93" w:rsidP="002D5177">
      <w:pPr>
        <w:pStyle w:val="ListParagraph"/>
        <w:numPr>
          <w:ilvl w:val="0"/>
          <w:numId w:val="16"/>
        </w:numPr>
        <w:spacing w:line="360" w:lineRule="auto"/>
        <w:rPr>
          <w:lang w:val="en-GB"/>
        </w:rPr>
      </w:pPr>
      <w:r w:rsidRPr="00F27D99">
        <w:rPr>
          <w:lang w:val="en-GB"/>
        </w:rPr>
        <w:t>On 5 October 2016,</w:t>
      </w:r>
      <w:r w:rsidR="00BF6333" w:rsidRPr="00F27D99">
        <w:rPr>
          <w:lang w:val="en-GB"/>
        </w:rPr>
        <w:t xml:space="preserve"> I finally received a response to my confirmatory application</w:t>
      </w:r>
      <w:r w:rsidR="004916D3" w:rsidRPr="00F27D99">
        <w:rPr>
          <w:lang w:val="en-GB"/>
        </w:rPr>
        <w:t xml:space="preserve"> in the form of a Decision of the Secretary General (“the Decision”)</w:t>
      </w:r>
      <w:r w:rsidR="00BF6333" w:rsidRPr="00F27D99">
        <w:rPr>
          <w:lang w:val="en-GB"/>
        </w:rPr>
        <w:t>.</w:t>
      </w:r>
      <w:r w:rsidRPr="00F27D99">
        <w:rPr>
          <w:rStyle w:val="FootnoteReference"/>
          <w:lang w:val="en-GB"/>
        </w:rPr>
        <w:footnoteReference w:id="4"/>
      </w:r>
      <w:r w:rsidR="00BF6333" w:rsidRPr="00F27D99">
        <w:rPr>
          <w:lang w:val="en-GB"/>
        </w:rPr>
        <w:t xml:space="preserve"> </w:t>
      </w:r>
    </w:p>
    <w:p w14:paraId="2294D8D9" w14:textId="77777777" w:rsidR="00B83A11" w:rsidRPr="00F27D99" w:rsidRDefault="00B83A11" w:rsidP="002D5177">
      <w:pPr>
        <w:pStyle w:val="ListParagraph"/>
        <w:numPr>
          <w:ilvl w:val="0"/>
          <w:numId w:val="18"/>
        </w:numPr>
        <w:spacing w:line="360" w:lineRule="auto"/>
        <w:rPr>
          <w:b/>
          <w:lang w:val="en-GB"/>
        </w:rPr>
      </w:pPr>
      <w:r w:rsidRPr="00F27D99">
        <w:rPr>
          <w:rFonts w:eastAsia="Arial Unicode MS"/>
          <w:b/>
          <w:lang w:val="en-GB"/>
        </w:rPr>
        <w:t>PROCEDURAL VIOLATIONS</w:t>
      </w:r>
    </w:p>
    <w:p w14:paraId="434FB793" w14:textId="77777777" w:rsidR="00B83A11" w:rsidRPr="00F27D99" w:rsidRDefault="00B83A11" w:rsidP="002D5177">
      <w:pPr>
        <w:pStyle w:val="ListParagraph"/>
        <w:numPr>
          <w:ilvl w:val="0"/>
          <w:numId w:val="16"/>
        </w:numPr>
        <w:spacing w:line="360" w:lineRule="auto"/>
        <w:rPr>
          <w:rFonts w:eastAsia="Arial Unicode MS"/>
          <w:lang w:val="en-GB"/>
        </w:rPr>
      </w:pPr>
      <w:r w:rsidRPr="00F27D99">
        <w:rPr>
          <w:rFonts w:eastAsia="Arial Unicode MS"/>
          <w:lang w:val="en-GB"/>
        </w:rPr>
        <w:t>Before addressing the Commission’s substantive assessment of my request, I wish to draw the Ombudsman’s attention to the Commission’s handling of my request, which fell well below the standard set in Regulation 1049/2001, infringing</w:t>
      </w:r>
      <w:r w:rsidRPr="00F27D99">
        <w:rPr>
          <w:lang w:val="en-GB"/>
        </w:rPr>
        <w:t xml:space="preserve"> Articles 7(1) and 7(3) thereof</w:t>
      </w:r>
      <w:r w:rsidRPr="00F27D99">
        <w:rPr>
          <w:rFonts w:eastAsia="Arial Unicode MS"/>
          <w:lang w:val="en-GB"/>
        </w:rPr>
        <w:t>.</w:t>
      </w:r>
    </w:p>
    <w:p w14:paraId="64426BD3" w14:textId="77777777" w:rsidR="00B83A11" w:rsidRPr="00F27D99" w:rsidRDefault="00B83A11" w:rsidP="002D5177">
      <w:pPr>
        <w:pStyle w:val="ListParagraph"/>
        <w:numPr>
          <w:ilvl w:val="0"/>
          <w:numId w:val="16"/>
        </w:numPr>
        <w:spacing w:line="360" w:lineRule="auto"/>
        <w:rPr>
          <w:lang w:val="en-GB"/>
        </w:rPr>
      </w:pPr>
      <w:r w:rsidRPr="00F27D99">
        <w:rPr>
          <w:rFonts w:eastAsia="Arial Unicode MS"/>
          <w:lang w:val="en-GB"/>
        </w:rPr>
        <w:t xml:space="preserve">First, Articles 7(1) of Regulation 1049/2001 obliges the institution to handle applications for access to documents “promptly”. Taking from </w:t>
      </w:r>
      <w:r w:rsidRPr="00F27D99">
        <w:rPr>
          <w:lang w:val="en-GB"/>
        </w:rPr>
        <w:t>19 May 2016, the date the Commission acknowledged receipt of the application, to 2</w:t>
      </w:r>
      <w:r w:rsidR="00793A60" w:rsidRPr="00F27D99">
        <w:rPr>
          <w:lang w:val="en-GB"/>
        </w:rPr>
        <w:t>6</w:t>
      </w:r>
      <w:r w:rsidRPr="00F27D99">
        <w:rPr>
          <w:lang w:val="en-GB"/>
        </w:rPr>
        <w:t xml:space="preserve"> July 2016, the date of the reply, can in no way be regarded as ‘prompt’.</w:t>
      </w:r>
    </w:p>
    <w:p w14:paraId="632F6D4B" w14:textId="77777777" w:rsidR="00B83A11" w:rsidRPr="00F27D99" w:rsidRDefault="00B83A11" w:rsidP="002D5177">
      <w:pPr>
        <w:pStyle w:val="ListParagraph"/>
        <w:numPr>
          <w:ilvl w:val="0"/>
          <w:numId w:val="16"/>
        </w:numPr>
        <w:spacing w:line="360" w:lineRule="auto"/>
        <w:rPr>
          <w:lang w:val="en-GB"/>
        </w:rPr>
      </w:pPr>
      <w:r w:rsidRPr="00F27D99">
        <w:rPr>
          <w:lang w:val="en-GB"/>
        </w:rPr>
        <w:t xml:space="preserve">Second, Article 7(3) of the Regulation states that the institution may only extend the 15 working day deadline to reply in “exceptional cases”, citing as an example where there is </w:t>
      </w:r>
      <w:r w:rsidRPr="00F27D99">
        <w:rPr>
          <w:i/>
          <w:lang w:val="en-GB"/>
        </w:rPr>
        <w:t>“an application relating to a very long document or to a very large number of documents”.</w:t>
      </w:r>
      <w:r w:rsidRPr="00F27D99">
        <w:rPr>
          <w:lang w:val="en-GB"/>
        </w:rPr>
        <w:t xml:space="preserve"> My application merely related to three documents, consisting of 2, 5 and 6 pages, rather than a ‘very long document’ or a ‘very large number of documents’ as is required by the Regulation to justify extending the deadline. It is therefore clear that there was no exceptional case justifying extending the Commission’s deadline.</w:t>
      </w:r>
    </w:p>
    <w:p w14:paraId="2D80C8D0" w14:textId="77777777" w:rsidR="00B83A11" w:rsidRPr="00F27D99" w:rsidRDefault="00B83A11" w:rsidP="002D5177">
      <w:pPr>
        <w:pStyle w:val="ListParagraph"/>
        <w:numPr>
          <w:ilvl w:val="0"/>
          <w:numId w:val="16"/>
        </w:numPr>
        <w:spacing w:line="360" w:lineRule="auto"/>
        <w:rPr>
          <w:lang w:val="en-GB"/>
        </w:rPr>
      </w:pPr>
      <w:r w:rsidRPr="00F27D99">
        <w:rPr>
          <w:lang w:val="en-GB"/>
        </w:rPr>
        <w:t>Third, Article 7(3) of the Regulation states that this 15 working day time limit may be extended provided that “detailed reasons are given”. However, as reason for the extension, the Commission simply stated in its reply letter that: “</w:t>
      </w:r>
      <w:r w:rsidRPr="00F27D99">
        <w:rPr>
          <w:i/>
          <w:u w:val="single"/>
          <w:lang w:val="en-GB"/>
        </w:rPr>
        <w:t xml:space="preserve">in view of </w:t>
      </w:r>
      <w:r w:rsidRPr="00F27D99">
        <w:rPr>
          <w:i/>
          <w:u w:val="single"/>
          <w:lang w:val="en-GB"/>
        </w:rPr>
        <w:lastRenderedPageBreak/>
        <w:t>the number and nature of the applications for access to documents</w:t>
      </w:r>
      <w:r w:rsidRPr="00F27D99">
        <w:rPr>
          <w:i/>
          <w:lang w:val="en-GB"/>
        </w:rPr>
        <w:t xml:space="preserve"> the Legal Service is dealing with currently, we will not be in a position to complete the processing of your request within the time limit of 15 working days, which expires today</w:t>
      </w:r>
      <w:r w:rsidRPr="00F27D99">
        <w:rPr>
          <w:lang w:val="en-GB"/>
        </w:rPr>
        <w:t>” (emphasis added). In using such general and imprecise language, it is difficult, under any possible reading of Article 7(3) to see this explanation by the Commission as satisfying the requirement that the reasons for the extension be ‘detailed’.</w:t>
      </w:r>
    </w:p>
    <w:p w14:paraId="40A4A2FD" w14:textId="77777777" w:rsidR="00B83A11" w:rsidRPr="00F27D99" w:rsidRDefault="00B83A11" w:rsidP="002D5177">
      <w:pPr>
        <w:pStyle w:val="ListParagraph"/>
        <w:numPr>
          <w:ilvl w:val="0"/>
          <w:numId w:val="16"/>
        </w:numPr>
        <w:spacing w:line="360" w:lineRule="auto"/>
        <w:rPr>
          <w:rFonts w:eastAsia="Arial Unicode MS"/>
          <w:lang w:val="en-GB"/>
        </w:rPr>
      </w:pPr>
      <w:r w:rsidRPr="00F27D99">
        <w:rPr>
          <w:lang w:val="en-GB"/>
        </w:rPr>
        <w:t xml:space="preserve">Fourth, despite already granting itself a 15 working day extension to reply—contrary to Articles 7(1) and 7(3), as explained above—the Commission extended its deadline twice more, completely outside the limits of its power under Regulation </w:t>
      </w:r>
      <w:r w:rsidRPr="00F27D99">
        <w:rPr>
          <w:rFonts w:eastAsia="Arial Unicode MS"/>
          <w:lang w:val="en-GB"/>
        </w:rPr>
        <w:t>1049/2001. The third deadline extension, which it granted itself on 30 June 2016, did not even give an indication of when it was going send the reply. Then on 18 July 2016, the Commission said it would reply “by the end of this week”, which it did not.</w:t>
      </w:r>
    </w:p>
    <w:p w14:paraId="070D8C12" w14:textId="77777777" w:rsidR="00BF6333" w:rsidRPr="00F27D99" w:rsidRDefault="00B83A11"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Whilst we realise that the Commission’s </w:t>
      </w:r>
      <w:r w:rsidR="00833516" w:rsidRPr="00F27D99">
        <w:rPr>
          <w:rFonts w:eastAsia="Arial Unicode MS"/>
          <w:lang w:val="en-GB"/>
        </w:rPr>
        <w:t>unnecessary delays have</w:t>
      </w:r>
      <w:r w:rsidRPr="00F27D99">
        <w:rPr>
          <w:rFonts w:eastAsia="Arial Unicode MS"/>
          <w:lang w:val="en-GB"/>
        </w:rPr>
        <w:t xml:space="preserve"> already occurred, and cannot </w:t>
      </w:r>
      <w:r w:rsidR="00833516" w:rsidRPr="00F27D99">
        <w:rPr>
          <w:rFonts w:eastAsia="Arial Unicode MS"/>
          <w:lang w:val="en-GB"/>
        </w:rPr>
        <w:t xml:space="preserve">in this case </w:t>
      </w:r>
      <w:r w:rsidRPr="00F27D99">
        <w:rPr>
          <w:rFonts w:eastAsia="Arial Unicode MS"/>
          <w:lang w:val="en-GB"/>
        </w:rPr>
        <w:t xml:space="preserve">be remedied as such, </w:t>
      </w:r>
      <w:r w:rsidR="00833516" w:rsidRPr="00F27D99">
        <w:rPr>
          <w:rFonts w:eastAsia="Arial Unicode MS"/>
          <w:lang w:val="en-GB"/>
        </w:rPr>
        <w:t xml:space="preserve">they nevertheless </w:t>
      </w:r>
      <w:r w:rsidR="009F0BF8" w:rsidRPr="00F27D99">
        <w:rPr>
          <w:rFonts w:eastAsia="Arial Unicode MS"/>
          <w:lang w:val="en-GB"/>
        </w:rPr>
        <w:t xml:space="preserve">clearly </w:t>
      </w:r>
      <w:r w:rsidR="00833516" w:rsidRPr="00F27D99">
        <w:rPr>
          <w:rFonts w:eastAsia="Arial Unicode MS"/>
          <w:lang w:val="en-GB"/>
        </w:rPr>
        <w:t>constitute</w:t>
      </w:r>
      <w:r w:rsidRPr="00F27D99">
        <w:rPr>
          <w:rFonts w:eastAsia="Arial Unicode MS"/>
          <w:lang w:val="en-GB"/>
        </w:rPr>
        <w:t xml:space="preserve"> maladministration. I request the Ombudsman to </w:t>
      </w:r>
      <w:r w:rsidR="00833516" w:rsidRPr="00F27D99">
        <w:rPr>
          <w:rFonts w:eastAsia="Arial Unicode MS"/>
          <w:lang w:val="en-GB"/>
        </w:rPr>
        <w:t xml:space="preserve">enquire as to </w:t>
      </w:r>
      <w:r w:rsidRPr="00F27D99">
        <w:rPr>
          <w:rFonts w:eastAsia="Arial Unicode MS"/>
          <w:lang w:val="en-GB"/>
        </w:rPr>
        <w:t xml:space="preserve">what the Commission is doing to </w:t>
      </w:r>
      <w:r w:rsidR="00793A60" w:rsidRPr="00F27D99">
        <w:rPr>
          <w:rFonts w:eastAsia="Arial Unicode MS"/>
          <w:lang w:val="en-GB"/>
        </w:rPr>
        <w:t>re</w:t>
      </w:r>
      <w:r w:rsidRPr="00F27D99">
        <w:rPr>
          <w:rFonts w:eastAsia="Arial Unicode MS"/>
          <w:lang w:val="en-GB"/>
        </w:rPr>
        <w:t>solve the problem of serious delays in responding to requests</w:t>
      </w:r>
      <w:r w:rsidR="00833516" w:rsidRPr="00F27D99">
        <w:rPr>
          <w:rFonts w:eastAsia="Arial Unicode MS"/>
          <w:lang w:val="en-GB"/>
        </w:rPr>
        <w:t xml:space="preserve"> and to recommend the Commission to take remedial action in future cases</w:t>
      </w:r>
      <w:r w:rsidRPr="00F27D99">
        <w:rPr>
          <w:rFonts w:eastAsia="Arial Unicode MS"/>
          <w:lang w:val="en-GB"/>
        </w:rPr>
        <w:t xml:space="preserve">. </w:t>
      </w:r>
    </w:p>
    <w:p w14:paraId="2DC33EF2" w14:textId="77777777" w:rsidR="00B83A11" w:rsidRPr="00F27D99" w:rsidRDefault="00B83A11" w:rsidP="002D5177">
      <w:pPr>
        <w:pStyle w:val="ListParagraph"/>
        <w:numPr>
          <w:ilvl w:val="0"/>
          <w:numId w:val="18"/>
        </w:numPr>
        <w:spacing w:line="360" w:lineRule="auto"/>
        <w:rPr>
          <w:rFonts w:eastAsia="Arial Unicode MS"/>
          <w:b/>
          <w:lang w:val="en-GB"/>
        </w:rPr>
      </w:pPr>
      <w:r w:rsidRPr="00F27D99">
        <w:rPr>
          <w:rFonts w:eastAsia="Arial Unicode MS"/>
          <w:b/>
          <w:lang w:val="en-GB"/>
        </w:rPr>
        <w:t>SUBSTANTIVE VIOLATIONS</w:t>
      </w:r>
    </w:p>
    <w:p w14:paraId="36528A6E" w14:textId="77777777" w:rsidR="002D5177" w:rsidRPr="00F27D99" w:rsidRDefault="003079B2" w:rsidP="002D5177">
      <w:pPr>
        <w:pStyle w:val="ListParagraph"/>
        <w:numPr>
          <w:ilvl w:val="0"/>
          <w:numId w:val="16"/>
        </w:numPr>
        <w:spacing w:line="360" w:lineRule="auto"/>
        <w:rPr>
          <w:lang w:val="en-GB"/>
        </w:rPr>
      </w:pPr>
      <w:r w:rsidRPr="00F27D99">
        <w:rPr>
          <w:lang w:val="en-GB"/>
        </w:rPr>
        <w:t>The</w:t>
      </w:r>
      <w:r w:rsidR="00BF6333" w:rsidRPr="00F27D99">
        <w:rPr>
          <w:lang w:val="en-GB"/>
        </w:rPr>
        <w:t xml:space="preserve"> European Commission has engaged in maladministration in its handling of my request for access to documents, in that it has failed to act in accordance with the law, particularly </w:t>
      </w:r>
      <w:r w:rsidR="00BF6333" w:rsidRPr="00F27D99">
        <w:rPr>
          <w:i/>
          <w:lang w:val="en-GB"/>
        </w:rPr>
        <w:t xml:space="preserve">Regulation No 1049/2001 regarding public access to </w:t>
      </w:r>
      <w:r w:rsidR="00BF6333" w:rsidRPr="00F27D99">
        <w:rPr>
          <w:i/>
          <w:lang w:val="en-GB"/>
        </w:rPr>
        <w:lastRenderedPageBreak/>
        <w:t>European Parliament, Council and Commission documents</w:t>
      </w:r>
      <w:r w:rsidR="00BF6333" w:rsidRPr="00F27D99">
        <w:rPr>
          <w:lang w:val="en-GB"/>
        </w:rPr>
        <w:t xml:space="preserve"> (hereinafter “Regulation 1</w:t>
      </w:r>
      <w:r w:rsidR="00793A60" w:rsidRPr="00F27D99">
        <w:rPr>
          <w:lang w:val="en-GB"/>
        </w:rPr>
        <w:t>049/2001” or “the Regulation”).</w:t>
      </w:r>
      <w:r w:rsidR="008841E4" w:rsidRPr="00F27D99">
        <w:rPr>
          <w:rStyle w:val="FootnoteReference"/>
          <w:lang w:val="en-GB"/>
        </w:rPr>
        <w:footnoteReference w:id="5"/>
      </w:r>
    </w:p>
    <w:p w14:paraId="17956080" w14:textId="77777777" w:rsidR="00D7672A" w:rsidRPr="00F27D99" w:rsidRDefault="00984A05" w:rsidP="00D7672A">
      <w:pPr>
        <w:pStyle w:val="ListParagraph"/>
        <w:numPr>
          <w:ilvl w:val="0"/>
          <w:numId w:val="16"/>
        </w:numPr>
        <w:spacing w:line="360" w:lineRule="auto"/>
        <w:rPr>
          <w:rFonts w:eastAsia="Arial Unicode MS"/>
          <w:lang w:val="en-GB"/>
        </w:rPr>
      </w:pPr>
      <w:r w:rsidRPr="00F27D99">
        <w:rPr>
          <w:rFonts w:eastAsia="Arial Unicode MS"/>
          <w:lang w:val="en-GB"/>
        </w:rPr>
        <w:t>In</w:t>
      </w:r>
      <w:r w:rsidR="00D7672A" w:rsidRPr="00F27D99">
        <w:rPr>
          <w:rFonts w:eastAsia="Arial Unicode MS"/>
          <w:lang w:val="en-GB"/>
        </w:rPr>
        <w:t xml:space="preserve"> its Decision, the Commiss</w:t>
      </w:r>
      <w:r w:rsidR="008841E4" w:rsidRPr="00F27D99">
        <w:rPr>
          <w:rFonts w:eastAsia="Arial Unicode MS"/>
          <w:lang w:val="en-GB"/>
        </w:rPr>
        <w:t>ion set</w:t>
      </w:r>
      <w:r w:rsidRPr="00F27D99">
        <w:rPr>
          <w:rFonts w:eastAsia="Arial Unicode MS"/>
          <w:lang w:val="en-GB"/>
        </w:rPr>
        <w:t xml:space="preserve"> out its arguments in an unstructured format whereby its various Article 4(2) and 4(3) arguments </w:t>
      </w:r>
      <w:r w:rsidR="008841E4" w:rsidRPr="00F27D99">
        <w:rPr>
          <w:rFonts w:eastAsia="Arial Unicode MS"/>
          <w:lang w:val="en-GB"/>
        </w:rPr>
        <w:t>were</w:t>
      </w:r>
      <w:r w:rsidRPr="00F27D99">
        <w:rPr>
          <w:rFonts w:eastAsia="Arial Unicode MS"/>
          <w:lang w:val="en-GB"/>
        </w:rPr>
        <w:t xml:space="preserve"> at times difficult to disentangle. In order to add some </w:t>
      </w:r>
      <w:r w:rsidR="00D7672A" w:rsidRPr="00F27D99">
        <w:rPr>
          <w:rFonts w:eastAsia="Arial Unicode MS"/>
          <w:lang w:val="en-GB"/>
        </w:rPr>
        <w:t xml:space="preserve">clarify, in contesting the Commission’s arguments I have sought to organize my arguments </w:t>
      </w:r>
      <w:r w:rsidR="008841E4" w:rsidRPr="00F27D99">
        <w:rPr>
          <w:rFonts w:eastAsia="Arial Unicode MS"/>
          <w:lang w:val="en-GB"/>
        </w:rPr>
        <w:t>as follows</w:t>
      </w:r>
      <w:r w:rsidRPr="00F27D99">
        <w:rPr>
          <w:rFonts w:eastAsia="Arial Unicode MS"/>
          <w:lang w:val="en-GB"/>
        </w:rPr>
        <w:t>:</w:t>
      </w:r>
    </w:p>
    <w:p w14:paraId="58A3CD5D" w14:textId="77777777" w:rsidR="00D7672A" w:rsidRPr="00F27D99" w:rsidRDefault="00D7672A" w:rsidP="00D7672A">
      <w:pPr>
        <w:pStyle w:val="ListParagraph"/>
        <w:numPr>
          <w:ilvl w:val="0"/>
          <w:numId w:val="16"/>
        </w:numPr>
        <w:spacing w:line="360" w:lineRule="auto"/>
        <w:rPr>
          <w:rFonts w:eastAsia="Arial Unicode MS"/>
          <w:lang w:val="en-GB"/>
        </w:rPr>
      </w:pPr>
      <w:r w:rsidRPr="00F27D99">
        <w:rPr>
          <w:rFonts w:eastAsia="Arial Unicode MS"/>
          <w:lang w:val="en-GB"/>
        </w:rPr>
        <w:t xml:space="preserve">I will first set out the </w:t>
      </w:r>
      <w:r w:rsidR="00984A05" w:rsidRPr="00F27D99">
        <w:rPr>
          <w:rFonts w:eastAsia="Arial Unicode MS"/>
          <w:lang w:val="en-GB"/>
        </w:rPr>
        <w:t xml:space="preserve">main elements of the </w:t>
      </w:r>
      <w:r w:rsidRPr="00F27D99">
        <w:rPr>
          <w:rFonts w:eastAsia="Arial Unicode MS"/>
          <w:lang w:val="en-GB"/>
        </w:rPr>
        <w:t>applicable le</w:t>
      </w:r>
      <w:r w:rsidR="00984A05" w:rsidRPr="00F27D99">
        <w:rPr>
          <w:rFonts w:eastAsia="Arial Unicode MS"/>
          <w:lang w:val="en-GB"/>
        </w:rPr>
        <w:t>gal framework.</w:t>
      </w:r>
      <w:r w:rsidRPr="00F27D99">
        <w:rPr>
          <w:rFonts w:eastAsia="Arial Unicode MS"/>
          <w:lang w:val="en-GB"/>
        </w:rPr>
        <w:t xml:space="preserve"> </w:t>
      </w:r>
    </w:p>
    <w:p w14:paraId="1F0A51D6" w14:textId="77777777" w:rsidR="00D7672A" w:rsidRPr="00F27D99" w:rsidRDefault="00D7672A" w:rsidP="00D7672A">
      <w:pPr>
        <w:pStyle w:val="ListParagraph"/>
        <w:numPr>
          <w:ilvl w:val="0"/>
          <w:numId w:val="16"/>
        </w:numPr>
        <w:spacing w:line="360" w:lineRule="auto"/>
        <w:rPr>
          <w:rFonts w:eastAsia="Arial Unicode MS"/>
          <w:lang w:val="en-GB"/>
        </w:rPr>
      </w:pPr>
      <w:r w:rsidRPr="00F27D99">
        <w:rPr>
          <w:rFonts w:eastAsia="Arial Unicode MS"/>
          <w:lang w:val="en-GB"/>
        </w:rPr>
        <w:t xml:space="preserve">It will then be argued that full access to the three documents in question does not undermine (1) the protection of legal advice or (2) the institution’s decision making process. </w:t>
      </w:r>
    </w:p>
    <w:p w14:paraId="69F24B8B" w14:textId="77777777" w:rsidR="00D7672A" w:rsidRPr="00F27D99" w:rsidRDefault="00D7672A" w:rsidP="00D7672A">
      <w:pPr>
        <w:pStyle w:val="ListParagraph"/>
        <w:numPr>
          <w:ilvl w:val="0"/>
          <w:numId w:val="16"/>
        </w:numPr>
        <w:spacing w:line="360" w:lineRule="auto"/>
        <w:rPr>
          <w:rFonts w:eastAsia="Arial Unicode MS"/>
          <w:lang w:val="en-GB"/>
        </w:rPr>
      </w:pPr>
      <w:r w:rsidRPr="00F27D99">
        <w:rPr>
          <w:rFonts w:eastAsia="Arial Unicode MS"/>
          <w:lang w:val="en-GB"/>
        </w:rPr>
        <w:t>In the final section, and as an alternative argument</w:t>
      </w:r>
      <w:r w:rsidR="00984A05" w:rsidRPr="00F27D99">
        <w:rPr>
          <w:rFonts w:eastAsia="Arial Unicode MS"/>
          <w:lang w:val="en-GB"/>
        </w:rPr>
        <w:t xml:space="preserve">, </w:t>
      </w:r>
      <w:r w:rsidRPr="00F27D99">
        <w:rPr>
          <w:rFonts w:eastAsia="Arial Unicode MS"/>
          <w:lang w:val="en-GB"/>
        </w:rPr>
        <w:t xml:space="preserve">if it were to be regarded that disclosure </w:t>
      </w:r>
      <w:r w:rsidRPr="00F27D99">
        <w:rPr>
          <w:rFonts w:eastAsia="Arial Unicode MS"/>
          <w:i/>
          <w:lang w:val="en-GB"/>
        </w:rPr>
        <w:t>would</w:t>
      </w:r>
      <w:r w:rsidR="00984A05" w:rsidRPr="00F27D99">
        <w:rPr>
          <w:rFonts w:eastAsia="Arial Unicode MS"/>
          <w:lang w:val="en-GB"/>
        </w:rPr>
        <w:t xml:space="preserve"> undermine the given interests contained in Articles 4(2) and/or 4(3) (</w:t>
      </w:r>
      <w:r w:rsidRPr="00F27D99">
        <w:rPr>
          <w:rFonts w:eastAsia="Arial Unicode MS"/>
          <w:lang w:val="en-GB"/>
        </w:rPr>
        <w:t>which I argue is not the case), there would nevertheless be an overriding public interest in fully disclosing the documents.</w:t>
      </w:r>
      <w:r w:rsidR="00984A05" w:rsidRPr="00F27D99">
        <w:rPr>
          <w:rFonts w:eastAsia="Arial Unicode MS"/>
          <w:lang w:val="en-GB"/>
        </w:rPr>
        <w:t xml:space="preserve"> </w:t>
      </w:r>
    </w:p>
    <w:p w14:paraId="0F48F44F" w14:textId="77777777" w:rsidR="004916D3" w:rsidRPr="00F27D99" w:rsidRDefault="00793A60" w:rsidP="00984A05">
      <w:pPr>
        <w:pStyle w:val="ListParagraph"/>
        <w:numPr>
          <w:ilvl w:val="0"/>
          <w:numId w:val="19"/>
        </w:numPr>
        <w:spacing w:line="360" w:lineRule="auto"/>
        <w:rPr>
          <w:lang w:val="en-GB"/>
        </w:rPr>
      </w:pPr>
      <w:r w:rsidRPr="00F27D99">
        <w:rPr>
          <w:b/>
          <w:lang w:val="en-GB"/>
        </w:rPr>
        <w:t>Legal framework</w:t>
      </w:r>
    </w:p>
    <w:p w14:paraId="7CD121E2" w14:textId="77777777" w:rsidR="00BF6333" w:rsidRPr="00F27D99" w:rsidRDefault="00BF6333" w:rsidP="002D5177">
      <w:pPr>
        <w:pStyle w:val="ListParagraph"/>
        <w:numPr>
          <w:ilvl w:val="0"/>
          <w:numId w:val="16"/>
        </w:numPr>
        <w:spacing w:line="360" w:lineRule="auto"/>
        <w:rPr>
          <w:lang w:val="en-GB"/>
        </w:rPr>
      </w:pPr>
      <w:r w:rsidRPr="00F27D99">
        <w:rPr>
          <w:lang w:val="en-GB"/>
        </w:rPr>
        <w:t>Regulation 1049/2001 is designed, as is clear from recital 4 and Article 1 thereof, to give the fullest possible effect to the right of public access to documents of the institutions.</w:t>
      </w:r>
      <w:r w:rsidR="003079B2" w:rsidRPr="00F27D99">
        <w:rPr>
          <w:rStyle w:val="FootnoteReference"/>
          <w:lang w:val="en-GB"/>
        </w:rPr>
        <w:footnoteReference w:id="6"/>
      </w:r>
      <w:r w:rsidRPr="00F27D99">
        <w:rPr>
          <w:lang w:val="en-GB"/>
        </w:rPr>
        <w:t xml:space="preserve"> Article 4 of Regulation No 1049/2001 provides for a number of exceptions enabling the institutions to refuse access to a document where its disclosure would undermine one of the intere</w:t>
      </w:r>
      <w:r w:rsidR="003079B2" w:rsidRPr="00F27D99">
        <w:rPr>
          <w:lang w:val="en-GB"/>
        </w:rPr>
        <w:t>sts protected by that provision.</w:t>
      </w:r>
      <w:r w:rsidR="003079B2" w:rsidRPr="00F27D99">
        <w:rPr>
          <w:rStyle w:val="FootnoteReference"/>
          <w:lang w:val="en-GB"/>
        </w:rPr>
        <w:footnoteReference w:id="7"/>
      </w:r>
    </w:p>
    <w:p w14:paraId="7E0DDB3A" w14:textId="77777777" w:rsidR="00BF6333" w:rsidRPr="00F27D99" w:rsidRDefault="00BF6333" w:rsidP="002D5177">
      <w:pPr>
        <w:pStyle w:val="ListParagraph"/>
        <w:numPr>
          <w:ilvl w:val="0"/>
          <w:numId w:val="16"/>
        </w:numPr>
        <w:spacing w:line="360" w:lineRule="auto"/>
        <w:rPr>
          <w:lang w:val="en-GB"/>
        </w:rPr>
      </w:pPr>
      <w:r w:rsidRPr="00F27D99">
        <w:rPr>
          <w:lang w:val="en-GB"/>
        </w:rPr>
        <w:t xml:space="preserve">When the Commission is asked to disclose a document, it must first of all assess, in each case, whether the document falls within the Article 4 exceptions. As such </w:t>
      </w:r>
      <w:r w:rsidRPr="00F27D99">
        <w:rPr>
          <w:lang w:val="en-GB"/>
        </w:rPr>
        <w:lastRenderedPageBreak/>
        <w:t xml:space="preserve">exceptions derogate from the principle of the widest possible public access to documents, they must be </w:t>
      </w:r>
      <w:r w:rsidRPr="00F27D99">
        <w:rPr>
          <w:b/>
          <w:lang w:val="en-GB"/>
        </w:rPr>
        <w:t>interpreted and applied strictly</w:t>
      </w:r>
      <w:r w:rsidR="003079B2" w:rsidRPr="00F27D99">
        <w:rPr>
          <w:lang w:val="en-GB"/>
        </w:rPr>
        <w:t>.</w:t>
      </w:r>
      <w:r w:rsidR="003079B2" w:rsidRPr="00F27D99">
        <w:rPr>
          <w:rStyle w:val="FootnoteReference"/>
          <w:lang w:val="en-GB"/>
        </w:rPr>
        <w:footnoteReference w:id="8"/>
      </w:r>
    </w:p>
    <w:p w14:paraId="74A03149" w14:textId="77777777" w:rsidR="00BF6333" w:rsidRPr="00F27D99" w:rsidRDefault="00BF6333" w:rsidP="002D5177">
      <w:pPr>
        <w:pStyle w:val="ListParagraph"/>
        <w:numPr>
          <w:ilvl w:val="0"/>
          <w:numId w:val="16"/>
        </w:numPr>
        <w:spacing w:line="360" w:lineRule="auto"/>
        <w:rPr>
          <w:lang w:val="en-GB"/>
        </w:rPr>
      </w:pPr>
      <w:r w:rsidRPr="00F27D99">
        <w:rPr>
          <w:lang w:val="en-GB"/>
        </w:rPr>
        <w:t xml:space="preserve">In accordance with this principle that derogations are to be interpreted strictly, if the Commission decides to refuse access to a document which it has been asked to disclose, it must explain how access to that document could </w:t>
      </w:r>
      <w:r w:rsidRPr="00F27D99">
        <w:rPr>
          <w:b/>
          <w:lang w:val="en-GB"/>
        </w:rPr>
        <w:t>specifically</w:t>
      </w:r>
      <w:r w:rsidRPr="00F27D99">
        <w:rPr>
          <w:lang w:val="en-GB"/>
        </w:rPr>
        <w:t xml:space="preserve"> and </w:t>
      </w:r>
      <w:r w:rsidRPr="00F27D99">
        <w:rPr>
          <w:b/>
          <w:lang w:val="en-GB"/>
        </w:rPr>
        <w:t>actually</w:t>
      </w:r>
      <w:r w:rsidRPr="00F27D99">
        <w:rPr>
          <w:lang w:val="en-GB"/>
        </w:rPr>
        <w:t xml:space="preserve"> undermine the interest protected by the exception — among those laid down in Article 4 of Regulation No 1049/2001 — upon which it is relying. Moreover, the risk of that interest being undermined must be </w:t>
      </w:r>
      <w:r w:rsidRPr="00F27D99">
        <w:rPr>
          <w:b/>
          <w:lang w:val="en-GB"/>
        </w:rPr>
        <w:t>reasonably foreseeable</w:t>
      </w:r>
      <w:r w:rsidRPr="00F27D99">
        <w:rPr>
          <w:lang w:val="en-GB"/>
        </w:rPr>
        <w:t xml:space="preserve"> and </w:t>
      </w:r>
      <w:r w:rsidRPr="00F27D99">
        <w:rPr>
          <w:b/>
          <w:lang w:val="en-GB"/>
        </w:rPr>
        <w:t>not purely hypothetical</w:t>
      </w:r>
      <w:r w:rsidRPr="00F27D99">
        <w:rPr>
          <w:lang w:val="en-GB"/>
        </w:rPr>
        <w:t>.</w:t>
      </w:r>
      <w:r w:rsidR="003079B2" w:rsidRPr="00F27D99">
        <w:rPr>
          <w:rStyle w:val="FootnoteReference"/>
          <w:lang w:val="en-GB"/>
        </w:rPr>
        <w:footnoteReference w:id="9"/>
      </w:r>
      <w:r w:rsidRPr="00F27D99">
        <w:rPr>
          <w:lang w:val="en-GB"/>
        </w:rPr>
        <w:t xml:space="preserve"> The mere fact that a document concerns an interest protected by an exception is not of itself sufficient to justif</w:t>
      </w:r>
      <w:r w:rsidR="003079B2" w:rsidRPr="00F27D99">
        <w:rPr>
          <w:lang w:val="en-GB"/>
        </w:rPr>
        <w:t>y application of that exception.</w:t>
      </w:r>
      <w:r w:rsidR="003079B2" w:rsidRPr="00F27D99">
        <w:rPr>
          <w:rStyle w:val="FootnoteReference"/>
          <w:lang w:val="en-GB"/>
        </w:rPr>
        <w:footnoteReference w:id="10"/>
      </w:r>
    </w:p>
    <w:p w14:paraId="408FA90B" w14:textId="77777777" w:rsidR="00BF6333" w:rsidRPr="00F27D99" w:rsidRDefault="00BF6333" w:rsidP="002D5177">
      <w:pPr>
        <w:pStyle w:val="ListParagraph"/>
        <w:numPr>
          <w:ilvl w:val="0"/>
          <w:numId w:val="16"/>
        </w:numPr>
        <w:spacing w:line="360" w:lineRule="auto"/>
        <w:rPr>
          <w:lang w:val="en-GB"/>
        </w:rPr>
      </w:pPr>
      <w:r w:rsidRPr="00F27D99">
        <w:rPr>
          <w:lang w:val="en-GB"/>
        </w:rPr>
        <w:t xml:space="preserve">Finally, in situations regarding Article 4(2) and 4(3), the Commission must explain whether or not there is an </w:t>
      </w:r>
      <w:r w:rsidRPr="00F27D99">
        <w:rPr>
          <w:b/>
          <w:lang w:val="en-GB"/>
        </w:rPr>
        <w:t>overriding public interest</w:t>
      </w:r>
      <w:r w:rsidRPr="00F27D99">
        <w:rPr>
          <w:lang w:val="en-GB"/>
        </w:rPr>
        <w:t xml:space="preserve"> that might nevertheless justify disclosure of the document/s concerned.</w:t>
      </w:r>
    </w:p>
    <w:p w14:paraId="6254D7A5" w14:textId="77777777" w:rsidR="00BF6333" w:rsidRPr="00F27D99" w:rsidRDefault="00BF6333" w:rsidP="00984A05">
      <w:pPr>
        <w:pStyle w:val="ListParagraph"/>
        <w:numPr>
          <w:ilvl w:val="0"/>
          <w:numId w:val="19"/>
        </w:numPr>
        <w:spacing w:line="360" w:lineRule="auto"/>
        <w:rPr>
          <w:rFonts w:eastAsia="Arial Unicode MS"/>
          <w:lang w:val="en-GB"/>
        </w:rPr>
      </w:pPr>
      <w:r w:rsidRPr="00F27D99">
        <w:rPr>
          <w:b/>
          <w:lang w:val="en-GB"/>
        </w:rPr>
        <w:t>Article 4(2)</w:t>
      </w:r>
      <w:r w:rsidR="008B1EDB" w:rsidRPr="00F27D99">
        <w:rPr>
          <w:b/>
          <w:lang w:val="en-GB"/>
        </w:rPr>
        <w:t xml:space="preserve"> Regulation 1049/2001, second indent</w:t>
      </w:r>
      <w:r w:rsidRPr="00F27D99">
        <w:rPr>
          <w:b/>
          <w:lang w:val="en-GB"/>
        </w:rPr>
        <w:t xml:space="preserve"> – Legal Advice</w:t>
      </w:r>
    </w:p>
    <w:p w14:paraId="6BE1CE2C" w14:textId="77777777" w:rsidR="008B1EDB" w:rsidRPr="00F27D99" w:rsidRDefault="008B1EDB" w:rsidP="002D5177">
      <w:pPr>
        <w:pStyle w:val="ListParagraph"/>
        <w:numPr>
          <w:ilvl w:val="0"/>
          <w:numId w:val="16"/>
        </w:numPr>
        <w:spacing w:line="360" w:lineRule="auto"/>
        <w:rPr>
          <w:rFonts w:eastAsia="Arial Unicode MS"/>
          <w:lang w:val="en-GB"/>
        </w:rPr>
      </w:pPr>
      <w:r w:rsidRPr="00F27D99">
        <w:rPr>
          <w:rFonts w:eastAsia="Arial Unicode MS"/>
          <w:lang w:val="en-GB"/>
        </w:rPr>
        <w:t>Article 4(2), second indent, of the Regulation sets out that “[t]he institutions shall refuse access to a document where disclosure would undermine the protection of […] legal advice […] unless there is an overriding public interest in disclosure.” The Court of Justice of the European Union (“CJEU”) has established that when an EU institution wishe</w:t>
      </w:r>
      <w:r w:rsidR="00D7672A" w:rsidRPr="00F27D99">
        <w:rPr>
          <w:rFonts w:eastAsia="Arial Unicode MS"/>
          <w:lang w:val="en-GB"/>
        </w:rPr>
        <w:t>s to rely on</w:t>
      </w:r>
      <w:r w:rsidRPr="00F27D99">
        <w:rPr>
          <w:rFonts w:eastAsia="Arial Unicode MS"/>
          <w:lang w:val="en-GB"/>
        </w:rPr>
        <w:t xml:space="preserve"> Article 4(2), it must carry out a three step examination.</w:t>
      </w:r>
      <w:r w:rsidRPr="00F27D99">
        <w:rPr>
          <w:rStyle w:val="FootnoteReference"/>
          <w:rFonts w:eastAsia="Arial Unicode MS"/>
          <w:lang w:val="en-GB"/>
        </w:rPr>
        <w:footnoteReference w:id="11"/>
      </w:r>
    </w:p>
    <w:p w14:paraId="50AF6A24" w14:textId="77777777" w:rsidR="008B1EDB" w:rsidRPr="00F27D99" w:rsidRDefault="008B1EDB" w:rsidP="002D5177">
      <w:pPr>
        <w:pStyle w:val="ListParagraph"/>
        <w:numPr>
          <w:ilvl w:val="0"/>
          <w:numId w:val="16"/>
        </w:numPr>
        <w:spacing w:line="360" w:lineRule="auto"/>
        <w:rPr>
          <w:rFonts w:eastAsia="Arial Unicode MS"/>
          <w:lang w:val="en-GB"/>
        </w:rPr>
      </w:pPr>
      <w:r w:rsidRPr="00F27D99">
        <w:rPr>
          <w:rFonts w:eastAsia="Arial Unicode MS"/>
          <w:lang w:val="en-GB"/>
        </w:rPr>
        <w:lastRenderedPageBreak/>
        <w:t>First, the Commission must establish that the documents it is asked to disclose do in fact relate to legal advice. This is not contested.</w:t>
      </w:r>
    </w:p>
    <w:p w14:paraId="7487C02A" w14:textId="77777777" w:rsidR="008B1EDB" w:rsidRPr="00F27D99" w:rsidRDefault="008B1EDB" w:rsidP="002D5177">
      <w:pPr>
        <w:pStyle w:val="ListParagraph"/>
        <w:numPr>
          <w:ilvl w:val="0"/>
          <w:numId w:val="16"/>
        </w:numPr>
        <w:spacing w:line="360" w:lineRule="auto"/>
        <w:rPr>
          <w:rFonts w:eastAsia="Arial Unicode MS"/>
          <w:lang w:val="en-GB"/>
        </w:rPr>
      </w:pPr>
      <w:r w:rsidRPr="00F27D99">
        <w:rPr>
          <w:rFonts w:eastAsia="Arial Unicode MS"/>
          <w:lang w:val="en-GB"/>
        </w:rPr>
        <w:t>Second, the Commission must examine whether disclosure would undermine the protection of the legal advice.</w:t>
      </w:r>
      <w:r w:rsidR="001410BD" w:rsidRPr="00F27D99">
        <w:rPr>
          <w:rFonts w:eastAsia="Arial Unicode MS"/>
          <w:lang w:val="en-GB"/>
        </w:rPr>
        <w:t xml:space="preserve"> The protection of legal advice is undermined where there is a risk that disclosure will affect the Commission’s interest </w:t>
      </w:r>
      <w:r w:rsidR="00E61DB5" w:rsidRPr="00F27D99">
        <w:rPr>
          <w:rFonts w:eastAsia="Arial Unicode MS"/>
          <w:lang w:val="en-GB"/>
        </w:rPr>
        <w:t>“</w:t>
      </w:r>
      <w:r w:rsidR="00E61DB5" w:rsidRPr="00F27D99">
        <w:rPr>
          <w:rFonts w:eastAsia="Arial Unicode MS"/>
          <w:i/>
          <w:lang w:val="en-GB"/>
        </w:rPr>
        <w:t>in seeking legal advice and receiving frank, objective and comprehensive advice</w:t>
      </w:r>
      <w:r w:rsidR="00E61DB5" w:rsidRPr="00F27D99">
        <w:rPr>
          <w:rFonts w:eastAsia="Arial Unicode MS"/>
          <w:lang w:val="en-GB"/>
        </w:rPr>
        <w:t>” and that such a risk is “</w:t>
      </w:r>
      <w:r w:rsidR="00E61DB5" w:rsidRPr="00F27D99">
        <w:rPr>
          <w:rFonts w:eastAsia="Arial Unicode MS"/>
          <w:i/>
          <w:lang w:val="en-GB"/>
        </w:rPr>
        <w:t>reasonably foreseeable and not purely hypothetical</w:t>
      </w:r>
      <w:r w:rsidR="00E61DB5" w:rsidRPr="00F27D99">
        <w:rPr>
          <w:rFonts w:eastAsia="Arial Unicode MS"/>
          <w:lang w:val="en-GB"/>
        </w:rPr>
        <w:t>.”</w:t>
      </w:r>
      <w:r w:rsidR="00E61DB5" w:rsidRPr="00F27D99">
        <w:rPr>
          <w:rStyle w:val="FootnoteReference"/>
          <w:rFonts w:eastAsia="Arial Unicode MS"/>
          <w:lang w:val="en-GB"/>
        </w:rPr>
        <w:footnoteReference w:id="12"/>
      </w:r>
    </w:p>
    <w:p w14:paraId="16E40A57" w14:textId="77777777" w:rsidR="00903A5B" w:rsidRPr="00F27D99" w:rsidRDefault="00903A5B" w:rsidP="002D5177">
      <w:pPr>
        <w:pStyle w:val="ListParagraph"/>
        <w:numPr>
          <w:ilvl w:val="0"/>
          <w:numId w:val="16"/>
        </w:numPr>
        <w:spacing w:line="360" w:lineRule="auto"/>
        <w:rPr>
          <w:rFonts w:eastAsia="Arial Unicode MS"/>
          <w:lang w:val="en-GB"/>
        </w:rPr>
      </w:pPr>
      <w:r w:rsidRPr="00F27D99">
        <w:rPr>
          <w:rFonts w:eastAsia="Arial Unicode MS"/>
          <w:lang w:val="en-GB"/>
        </w:rPr>
        <w:t>Third and last, if the Commission takes the view that disclosure would undermine the protection of legal advice, the Commission must determine whether there is nevertheless any overriding public interest justifying disclosure. This argument wil</w:t>
      </w:r>
      <w:r w:rsidR="00A368DD" w:rsidRPr="00F27D99">
        <w:rPr>
          <w:rFonts w:eastAsia="Arial Unicode MS"/>
          <w:lang w:val="en-GB"/>
        </w:rPr>
        <w:t>l be addressed in s</w:t>
      </w:r>
      <w:r w:rsidRPr="00F27D99">
        <w:rPr>
          <w:rFonts w:eastAsia="Arial Unicode MS"/>
          <w:lang w:val="en-GB"/>
        </w:rPr>
        <w:t>ection</w:t>
      </w:r>
      <w:r w:rsidR="00984A05" w:rsidRPr="00F27D99">
        <w:rPr>
          <w:rFonts w:eastAsia="Arial Unicode MS"/>
          <w:lang w:val="en-GB"/>
        </w:rPr>
        <w:t xml:space="preserve"> iv</w:t>
      </w:r>
      <w:r w:rsidR="00A368DD" w:rsidRPr="00F27D99">
        <w:rPr>
          <w:rFonts w:eastAsia="Arial Unicode MS"/>
          <w:lang w:val="en-GB"/>
        </w:rPr>
        <w:t>, below</w:t>
      </w:r>
      <w:r w:rsidRPr="00F27D99">
        <w:rPr>
          <w:rFonts w:eastAsia="Arial Unicode MS"/>
          <w:lang w:val="en-GB"/>
        </w:rPr>
        <w:t>.</w:t>
      </w:r>
    </w:p>
    <w:p w14:paraId="456D617B"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The Commission sets out a number of arguments as to why it considers that disclosure of the parts of the documents in question would undermine the protection of the legal a</w:t>
      </w:r>
      <w:r w:rsidR="00984A05" w:rsidRPr="00F27D99">
        <w:rPr>
          <w:rFonts w:eastAsia="Arial Unicode MS"/>
          <w:lang w:val="en-GB"/>
        </w:rPr>
        <w:t>dvice.</w:t>
      </w:r>
    </w:p>
    <w:p w14:paraId="1041762A" w14:textId="77777777" w:rsidR="00BF6333" w:rsidRPr="00F27D99" w:rsidRDefault="005D7929" w:rsidP="002D5177">
      <w:pPr>
        <w:pStyle w:val="ListParagraph"/>
        <w:numPr>
          <w:ilvl w:val="0"/>
          <w:numId w:val="16"/>
        </w:numPr>
        <w:spacing w:line="360" w:lineRule="auto"/>
        <w:rPr>
          <w:rFonts w:eastAsia="Arial Unicode MS"/>
          <w:lang w:val="en-GB"/>
        </w:rPr>
      </w:pPr>
      <w:r w:rsidRPr="00F27D99">
        <w:rPr>
          <w:rFonts w:eastAsia="Arial Unicode MS"/>
          <w:u w:val="single"/>
          <w:lang w:val="en-GB"/>
        </w:rPr>
        <w:t>First,</w:t>
      </w:r>
      <w:r w:rsidRPr="00F27D99">
        <w:rPr>
          <w:rFonts w:eastAsia="Arial Unicode MS"/>
          <w:lang w:val="en-GB"/>
        </w:rPr>
        <w:t xml:space="preserve"> t</w:t>
      </w:r>
      <w:r w:rsidR="00EA4FD7" w:rsidRPr="00F27D99">
        <w:rPr>
          <w:rFonts w:eastAsia="Arial Unicode MS"/>
          <w:lang w:val="en-GB"/>
        </w:rPr>
        <w:t>he Commission</w:t>
      </w:r>
      <w:r w:rsidR="00BF6333" w:rsidRPr="00F27D99">
        <w:rPr>
          <w:rFonts w:eastAsia="Arial Unicode MS"/>
          <w:lang w:val="en-GB"/>
        </w:rPr>
        <w:t xml:space="preserve"> states that these legal opinions are particularly sensitive. It seeks to justify this by </w:t>
      </w:r>
      <w:r w:rsidR="00E61DB5" w:rsidRPr="00F27D99">
        <w:rPr>
          <w:rFonts w:eastAsia="Arial Unicode MS"/>
          <w:lang w:val="en-GB"/>
        </w:rPr>
        <w:t>stating that documents 1 and 3 “</w:t>
      </w:r>
      <w:r w:rsidR="00BF6333" w:rsidRPr="00F27D99">
        <w:rPr>
          <w:rFonts w:eastAsia="Arial Unicode MS"/>
          <w:lang w:val="en-GB"/>
        </w:rPr>
        <w:t xml:space="preserve">relate to the different options as to the legal basis for a </w:t>
      </w:r>
      <w:r w:rsidR="00E61DB5" w:rsidRPr="00F27D99">
        <w:rPr>
          <w:rFonts w:eastAsia="Arial Unicode MS"/>
          <w:lang w:val="en-GB"/>
        </w:rPr>
        <w:t>mandatory register of lobbyists”</w:t>
      </w:r>
      <w:r w:rsidR="00BF6333" w:rsidRPr="00F27D99">
        <w:rPr>
          <w:rFonts w:eastAsia="Arial Unicode MS"/>
          <w:lang w:val="en-GB"/>
        </w:rPr>
        <w:t xml:space="preserve"> and that document 2 </w:t>
      </w:r>
      <w:r w:rsidR="00E61DB5" w:rsidRPr="00F27D99">
        <w:rPr>
          <w:rFonts w:eastAsia="Arial Unicode MS"/>
          <w:lang w:val="en-GB"/>
        </w:rPr>
        <w:t>relates to “</w:t>
      </w:r>
      <w:r w:rsidR="00BF6333" w:rsidRPr="00F27D99">
        <w:rPr>
          <w:rFonts w:eastAsia="Arial Unicode MS"/>
          <w:lang w:val="en-GB"/>
        </w:rPr>
        <w:t>specific advice as to the attitude of the Commission in case of non-compliance with the Code of Conduct and to specific options fo</w:t>
      </w:r>
      <w:r w:rsidR="00E61DB5" w:rsidRPr="00F27D99">
        <w:rPr>
          <w:rFonts w:eastAsia="Arial Unicode MS"/>
          <w:lang w:val="en-GB"/>
        </w:rPr>
        <w:t>r sanctions in such situations.”</w:t>
      </w:r>
    </w:p>
    <w:p w14:paraId="3A5EF1DD"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The Commission does not explain how exactly disclosure of each of the three documents could </w:t>
      </w:r>
      <w:r w:rsidRPr="00F27D99">
        <w:rPr>
          <w:rFonts w:eastAsia="Arial Unicode MS"/>
          <w:b/>
          <w:lang w:val="en-GB"/>
        </w:rPr>
        <w:t>specifically</w:t>
      </w:r>
      <w:r w:rsidRPr="00F27D99">
        <w:rPr>
          <w:rFonts w:eastAsia="Arial Unicode MS"/>
          <w:lang w:val="en-GB"/>
        </w:rPr>
        <w:t xml:space="preserve"> and </w:t>
      </w:r>
      <w:r w:rsidRPr="00F27D99">
        <w:rPr>
          <w:rFonts w:eastAsia="Arial Unicode MS"/>
          <w:b/>
          <w:lang w:val="en-GB"/>
        </w:rPr>
        <w:t>effectively</w:t>
      </w:r>
      <w:r w:rsidRPr="00F27D99">
        <w:rPr>
          <w:rFonts w:eastAsia="Arial Unicode MS"/>
          <w:lang w:val="en-GB"/>
        </w:rPr>
        <w:t xml:space="preserve"> undermine</w:t>
      </w:r>
      <w:r w:rsidRPr="00F27D99">
        <w:rPr>
          <w:lang w:val="en-GB"/>
        </w:rPr>
        <w:t xml:space="preserve"> </w:t>
      </w:r>
      <w:r w:rsidRPr="00F27D99">
        <w:rPr>
          <w:rFonts w:eastAsia="Arial Unicode MS"/>
          <w:lang w:val="en-GB"/>
        </w:rPr>
        <w:t xml:space="preserve">the protection of </w:t>
      </w:r>
      <w:r w:rsidR="00E61DB5" w:rsidRPr="00F27D99">
        <w:rPr>
          <w:rFonts w:eastAsia="Arial Unicode MS"/>
          <w:lang w:val="en-GB"/>
        </w:rPr>
        <w:t xml:space="preserve">the </w:t>
      </w:r>
      <w:r w:rsidRPr="00F27D99">
        <w:rPr>
          <w:rFonts w:eastAsia="Arial Unicode MS"/>
          <w:lang w:val="en-GB"/>
        </w:rPr>
        <w:t xml:space="preserve">legal advice. </w:t>
      </w:r>
    </w:p>
    <w:p w14:paraId="6771857F" w14:textId="77777777" w:rsidR="00BF6333" w:rsidRPr="00F27D99" w:rsidRDefault="00EA4FD7" w:rsidP="002D5177">
      <w:pPr>
        <w:pStyle w:val="ListParagraph"/>
        <w:numPr>
          <w:ilvl w:val="0"/>
          <w:numId w:val="16"/>
        </w:numPr>
        <w:spacing w:line="360" w:lineRule="auto"/>
        <w:rPr>
          <w:lang w:val="en-GB"/>
        </w:rPr>
      </w:pPr>
      <w:r w:rsidRPr="00F27D99">
        <w:rPr>
          <w:rFonts w:eastAsia="Arial Unicode MS"/>
          <w:lang w:val="en-GB"/>
        </w:rPr>
        <w:t>In</w:t>
      </w:r>
      <w:r w:rsidR="00BF6333" w:rsidRPr="00F27D99">
        <w:rPr>
          <w:rFonts w:eastAsia="Arial Unicode MS"/>
          <w:lang w:val="en-GB"/>
        </w:rPr>
        <w:t xml:space="preserve"> </w:t>
      </w:r>
      <w:r w:rsidR="00BF6333" w:rsidRPr="00F27D99">
        <w:rPr>
          <w:i/>
          <w:lang w:val="en-GB"/>
        </w:rPr>
        <w:t>Sweden and Turco v Council</w:t>
      </w:r>
      <w:r w:rsidR="00BF6333" w:rsidRPr="00F27D99">
        <w:rPr>
          <w:lang w:val="en-GB"/>
        </w:rPr>
        <w:t xml:space="preserve"> (“</w:t>
      </w:r>
      <w:r w:rsidR="00BF6333" w:rsidRPr="00F27D99">
        <w:rPr>
          <w:i/>
          <w:lang w:val="en-GB"/>
        </w:rPr>
        <w:t>Turco</w:t>
      </w:r>
      <w:r w:rsidR="00BF6333" w:rsidRPr="00F27D99">
        <w:rPr>
          <w:lang w:val="en-GB"/>
        </w:rPr>
        <w:t>”)</w:t>
      </w:r>
      <w:r w:rsidRPr="00F27D99">
        <w:rPr>
          <w:lang w:val="en-GB"/>
        </w:rPr>
        <w:t>, the CJEU</w:t>
      </w:r>
      <w:r w:rsidR="00BF6333" w:rsidRPr="00F27D99">
        <w:rPr>
          <w:lang w:val="en-GB"/>
        </w:rPr>
        <w:t xml:space="preserve"> condemned the Council for relying on “</w:t>
      </w:r>
      <w:r w:rsidR="00BF6333" w:rsidRPr="00F27D99">
        <w:rPr>
          <w:i/>
          <w:lang w:val="en-GB"/>
        </w:rPr>
        <w:t xml:space="preserve">mere assertions, which were in no way substantiated by detailed </w:t>
      </w:r>
      <w:r w:rsidR="00BF6333" w:rsidRPr="00F27D99">
        <w:rPr>
          <w:i/>
          <w:lang w:val="en-GB"/>
        </w:rPr>
        <w:lastRenderedPageBreak/>
        <w:t>arguments</w:t>
      </w:r>
      <w:r w:rsidR="00BF6333" w:rsidRPr="00F27D99">
        <w:rPr>
          <w:lang w:val="en-GB"/>
        </w:rPr>
        <w:t>” and stated that “</w:t>
      </w:r>
      <w:r w:rsidR="00BF6333" w:rsidRPr="00F27D99">
        <w:rPr>
          <w:i/>
          <w:lang w:val="en-GB"/>
        </w:rPr>
        <w:t>there would appear to be no real risk that is reasonably foreseeable and not purely hypothetical of that interest being undermined</w:t>
      </w:r>
      <w:r w:rsidR="00BF6333" w:rsidRPr="00F27D99">
        <w:rPr>
          <w:lang w:val="en-GB"/>
        </w:rPr>
        <w:t xml:space="preserve">.” </w:t>
      </w:r>
    </w:p>
    <w:p w14:paraId="091B4DA7" w14:textId="77777777" w:rsidR="00BF6333" w:rsidRPr="00F27D99" w:rsidRDefault="00833516" w:rsidP="002D5177">
      <w:pPr>
        <w:pStyle w:val="ListParagraph"/>
        <w:numPr>
          <w:ilvl w:val="0"/>
          <w:numId w:val="16"/>
        </w:numPr>
        <w:spacing w:line="360" w:lineRule="auto"/>
        <w:rPr>
          <w:lang w:val="en-GB"/>
        </w:rPr>
      </w:pPr>
      <w:r w:rsidRPr="00F27D99">
        <w:rPr>
          <w:lang w:val="en-GB"/>
        </w:rPr>
        <w:t>T</w:t>
      </w:r>
      <w:r w:rsidR="00BF6333" w:rsidRPr="00F27D99">
        <w:rPr>
          <w:lang w:val="en-GB"/>
        </w:rPr>
        <w:t xml:space="preserve">he Commission is, like the Council in </w:t>
      </w:r>
      <w:r w:rsidR="00BF6333" w:rsidRPr="00F27D99">
        <w:rPr>
          <w:i/>
          <w:lang w:val="en-GB"/>
        </w:rPr>
        <w:t>Turco</w:t>
      </w:r>
      <w:r w:rsidR="00BF6333" w:rsidRPr="00F27D99">
        <w:rPr>
          <w:lang w:val="en-GB"/>
        </w:rPr>
        <w:t xml:space="preserve">, relying on unsubstantiated assertions, despite the burden being on the </w:t>
      </w:r>
      <w:r w:rsidR="00A17E92" w:rsidRPr="00F27D99">
        <w:rPr>
          <w:lang w:val="en-GB"/>
        </w:rPr>
        <w:t>i</w:t>
      </w:r>
      <w:r w:rsidR="00BF6333" w:rsidRPr="00F27D99">
        <w:rPr>
          <w:lang w:val="en-GB"/>
        </w:rPr>
        <w:t xml:space="preserve">nstitution—rather than the person seeking access to the documents—to demonstrate why it should benefit from an exception to the general rule that all documents of the institutions should be accessible to the public.  </w:t>
      </w:r>
    </w:p>
    <w:p w14:paraId="777EC473"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Although the Court has stated that refusal to disclose a particularly sensitive legal opinion, in the context of a legislative process, may be justified, “</w:t>
      </w:r>
      <w:r w:rsidRPr="00F27D99">
        <w:rPr>
          <w:rFonts w:eastAsia="Arial Unicode MS"/>
          <w:i/>
          <w:lang w:val="en-GB"/>
        </w:rPr>
        <w:t>i</w:t>
      </w:r>
      <w:r w:rsidRPr="00F27D99">
        <w:rPr>
          <w:i/>
          <w:lang w:val="en-GB"/>
        </w:rPr>
        <w:t xml:space="preserve">n such a case, it is incumbent on the institution concerned to give a </w:t>
      </w:r>
      <w:r w:rsidRPr="00F27D99">
        <w:rPr>
          <w:i/>
          <w:u w:val="single"/>
          <w:lang w:val="en-GB"/>
        </w:rPr>
        <w:t>detailed</w:t>
      </w:r>
      <w:r w:rsidRPr="00F27D99">
        <w:rPr>
          <w:i/>
          <w:lang w:val="en-GB"/>
        </w:rPr>
        <w:t xml:space="preserve"> statement of reasons for such a refusal</w:t>
      </w:r>
      <w:r w:rsidR="00E61DB5" w:rsidRPr="00F27D99">
        <w:rPr>
          <w:lang w:val="en-GB"/>
        </w:rPr>
        <w:t>” (emphasis added)</w:t>
      </w:r>
      <w:r w:rsidRPr="00F27D99">
        <w:rPr>
          <w:lang w:val="en-GB"/>
        </w:rPr>
        <w:t>.</w:t>
      </w:r>
      <w:r w:rsidR="00E61DB5" w:rsidRPr="00F27D99">
        <w:rPr>
          <w:rStyle w:val="FootnoteReference"/>
          <w:lang w:val="en-GB"/>
        </w:rPr>
        <w:footnoteReference w:id="13"/>
      </w:r>
      <w:r w:rsidRPr="00F27D99">
        <w:rPr>
          <w:rFonts w:eastAsia="Arial Unicode MS"/>
          <w:lang w:val="en-GB"/>
        </w:rPr>
        <w:t xml:space="preserve"> In the Commission’s decision, there is no such ‘detailed’ statement of reasons, firstly, as to why the issue is ‘sensitive’ as compared to other issues that the institution deals with, or, secondly, precisely how the disclosure of the opinion would </w:t>
      </w:r>
      <w:r w:rsidRPr="00F27D99">
        <w:rPr>
          <w:rFonts w:eastAsia="Arial Unicode MS"/>
          <w:i/>
          <w:lang w:val="en-GB"/>
        </w:rPr>
        <w:t>undermine</w:t>
      </w:r>
      <w:r w:rsidRPr="00F27D99">
        <w:rPr>
          <w:rFonts w:eastAsia="Arial Unicode MS"/>
          <w:lang w:val="en-GB"/>
        </w:rPr>
        <w:t xml:space="preserve"> the protection of legal advice. </w:t>
      </w:r>
      <w:r w:rsidR="00EA4FD7" w:rsidRPr="00F27D99">
        <w:rPr>
          <w:rFonts w:eastAsia="Arial Unicode MS"/>
          <w:lang w:val="en-GB"/>
        </w:rPr>
        <w:t>W</w:t>
      </w:r>
      <w:r w:rsidRPr="00F27D99">
        <w:rPr>
          <w:rFonts w:eastAsia="Arial Unicode MS"/>
          <w:lang w:val="en-GB"/>
        </w:rPr>
        <w:t xml:space="preserve">hile a matter of high importance in terms of ensuring the integrity of and trust in European Union decision making, there is nothing about the lobby register that is particularly sensitive compared with, for example, matters of public security or the fight against terrorism. </w:t>
      </w:r>
    </w:p>
    <w:p w14:paraId="5543663D"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Consequently, the Commission has not established that access to each of the three documents at issue could specifically and effectively undermine the protection of legal advice.</w:t>
      </w:r>
    </w:p>
    <w:p w14:paraId="15B612BF" w14:textId="77777777" w:rsidR="00BF6333" w:rsidRPr="00F27D99" w:rsidRDefault="005D7929" w:rsidP="002D5177">
      <w:pPr>
        <w:pStyle w:val="ListParagraph"/>
        <w:numPr>
          <w:ilvl w:val="0"/>
          <w:numId w:val="16"/>
        </w:numPr>
        <w:spacing w:line="360" w:lineRule="auto"/>
        <w:rPr>
          <w:rFonts w:eastAsia="Arial Unicode MS"/>
          <w:lang w:val="en-GB"/>
        </w:rPr>
      </w:pPr>
      <w:r w:rsidRPr="00F27D99">
        <w:rPr>
          <w:rFonts w:eastAsia="Arial Unicode MS"/>
          <w:u w:val="single"/>
          <w:lang w:val="en-GB"/>
        </w:rPr>
        <w:t>Second</w:t>
      </w:r>
      <w:r w:rsidRPr="00F27D99">
        <w:rPr>
          <w:rFonts w:eastAsia="Arial Unicode MS"/>
          <w:lang w:val="en-GB"/>
        </w:rPr>
        <w:t>, t</w:t>
      </w:r>
      <w:r w:rsidR="00BF6333" w:rsidRPr="00F27D99">
        <w:rPr>
          <w:rFonts w:eastAsia="Arial Unicode MS"/>
          <w:lang w:val="en-GB"/>
        </w:rPr>
        <w:t xml:space="preserve">he Commission argues that document 3 is a legal opinion of </w:t>
      </w:r>
      <w:r w:rsidR="00BF6333" w:rsidRPr="00F27D99">
        <w:rPr>
          <w:rFonts w:eastAsia="Arial Unicode MS"/>
          <w:u w:val="single"/>
          <w:lang w:val="en-GB"/>
        </w:rPr>
        <w:t>particularly</w:t>
      </w:r>
      <w:r w:rsidR="00BF6333" w:rsidRPr="00F27D99">
        <w:rPr>
          <w:rFonts w:eastAsia="Arial Unicode MS"/>
          <w:lang w:val="en-GB"/>
        </w:rPr>
        <w:t xml:space="preserve"> wide scope ‘as it gives a detailed interpretation of Articles 298 and 352 of the TFEU […] and is </w:t>
      </w:r>
      <w:r w:rsidR="00EA4FD7" w:rsidRPr="00F27D99">
        <w:rPr>
          <w:rFonts w:eastAsia="Arial Unicode MS"/>
          <w:lang w:val="en-GB"/>
        </w:rPr>
        <w:t xml:space="preserve">thus not only </w:t>
      </w:r>
      <w:r w:rsidR="00BF6333" w:rsidRPr="00F27D99">
        <w:rPr>
          <w:rFonts w:eastAsia="Arial Unicode MS"/>
          <w:lang w:val="en-GB"/>
        </w:rPr>
        <w:t xml:space="preserve">relevant in the context of the current discussions </w:t>
      </w:r>
      <w:r w:rsidR="00BF6333" w:rsidRPr="00F27D99">
        <w:rPr>
          <w:rFonts w:eastAsia="Arial Unicode MS"/>
          <w:lang w:val="en-GB"/>
        </w:rPr>
        <w:lastRenderedPageBreak/>
        <w:t xml:space="preserve">on the lobby register but will be relevant in the framework of future questions where the interpretation of the concerned articles may arise’. </w:t>
      </w:r>
    </w:p>
    <w:p w14:paraId="04F9E209"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The Court has accepted that in some instances there may grounds for refusing to disclose a particular legal opinion “</w:t>
      </w:r>
      <w:r w:rsidRPr="00F27D99">
        <w:rPr>
          <w:rFonts w:eastAsia="Arial Unicode MS"/>
          <w:i/>
          <w:lang w:val="en-GB"/>
        </w:rPr>
        <w:t>having a particularly wide scope that goes beyond the context of the legislative process in question”</w:t>
      </w:r>
      <w:r w:rsidRPr="00F27D99">
        <w:rPr>
          <w:lang w:val="en-GB"/>
        </w:rPr>
        <w:t>.</w:t>
      </w:r>
      <w:r w:rsidR="00EA4FD7" w:rsidRPr="00F27D99">
        <w:rPr>
          <w:rStyle w:val="FootnoteReference"/>
          <w:lang w:val="en-GB"/>
        </w:rPr>
        <w:footnoteReference w:id="14"/>
      </w:r>
      <w:r w:rsidRPr="00F27D99">
        <w:rPr>
          <w:rFonts w:eastAsia="Arial Unicode MS"/>
          <w:lang w:val="en-GB"/>
        </w:rPr>
        <w:t xml:space="preserve"> Once again, however, the burden is on the institution to give a detailed statement of reasons for the refusal, which in this case the Commission has failed to do. </w:t>
      </w:r>
    </w:p>
    <w:p w14:paraId="0161330A"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Stating that the legal advice relates to two articles of the TFEU </w:t>
      </w:r>
      <w:r w:rsidR="00EA4FD7" w:rsidRPr="00F27D99">
        <w:rPr>
          <w:rFonts w:eastAsia="Arial Unicode MS"/>
          <w:lang w:val="en-GB"/>
        </w:rPr>
        <w:t xml:space="preserve">in </w:t>
      </w:r>
      <w:r w:rsidRPr="00F27D99">
        <w:rPr>
          <w:rFonts w:eastAsia="Arial Unicode MS"/>
          <w:lang w:val="en-GB"/>
        </w:rPr>
        <w:t>no way demonstrate</w:t>
      </w:r>
      <w:r w:rsidR="00EA4FD7" w:rsidRPr="00F27D99">
        <w:rPr>
          <w:rFonts w:eastAsia="Arial Unicode MS"/>
          <w:lang w:val="en-GB"/>
        </w:rPr>
        <w:t>s</w:t>
      </w:r>
      <w:r w:rsidRPr="00F27D99">
        <w:rPr>
          <w:rFonts w:eastAsia="Arial Unicode MS"/>
          <w:lang w:val="en-GB"/>
        </w:rPr>
        <w:t xml:space="preserve"> the ‘particularly wide scope’ of the legal opinion. To the contrary, a legal opinion providing an interpretation of a mere two Treaty articles would appear to be </w:t>
      </w:r>
      <w:r w:rsidR="00D27075" w:rsidRPr="00F27D99">
        <w:rPr>
          <w:rFonts w:eastAsia="Arial Unicode MS"/>
          <w:lang w:val="en-GB"/>
        </w:rPr>
        <w:t>particularly</w:t>
      </w:r>
      <w:r w:rsidRPr="00F27D99">
        <w:rPr>
          <w:rFonts w:eastAsia="Arial Unicode MS"/>
          <w:lang w:val="en-GB"/>
        </w:rPr>
        <w:t xml:space="preserve"> narrow in scope.</w:t>
      </w:r>
    </w:p>
    <w:p w14:paraId="08EFA9DA"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Further, </w:t>
      </w:r>
      <w:r w:rsidR="00D27075" w:rsidRPr="00F27D99">
        <w:rPr>
          <w:rFonts w:eastAsia="Arial Unicode MS"/>
          <w:lang w:val="en-GB"/>
        </w:rPr>
        <w:t>the Commission’s</w:t>
      </w:r>
      <w:r w:rsidRPr="00F27D99">
        <w:rPr>
          <w:rFonts w:eastAsia="Arial Unicode MS"/>
          <w:lang w:val="en-GB"/>
        </w:rPr>
        <w:t xml:space="preserve"> assertion that an interpretation of the meaning of the two articles could potentially be relevant where their interpretation ‘</w:t>
      </w:r>
      <w:r w:rsidRPr="00F27D99">
        <w:rPr>
          <w:rFonts w:eastAsia="Arial Unicode MS"/>
          <w:i/>
          <w:lang w:val="en-GB"/>
        </w:rPr>
        <w:t>may’</w:t>
      </w:r>
      <w:r w:rsidRPr="00F27D99">
        <w:rPr>
          <w:rFonts w:eastAsia="Arial Unicode MS"/>
          <w:lang w:val="en-GB"/>
        </w:rPr>
        <w:t xml:space="preserve"> arise similarly does </w:t>
      </w:r>
      <w:r w:rsidR="00A368DD" w:rsidRPr="00F27D99">
        <w:rPr>
          <w:rFonts w:eastAsia="Arial Unicode MS"/>
          <w:lang w:val="en-GB"/>
        </w:rPr>
        <w:t>not strengthen the</w:t>
      </w:r>
      <w:r w:rsidRPr="00F27D99">
        <w:rPr>
          <w:rFonts w:eastAsia="Arial Unicode MS"/>
          <w:lang w:val="en-GB"/>
        </w:rPr>
        <w:t xml:space="preserve"> Commission</w:t>
      </w:r>
      <w:r w:rsidR="00A368DD" w:rsidRPr="00F27D99">
        <w:rPr>
          <w:rFonts w:eastAsia="Arial Unicode MS"/>
          <w:lang w:val="en-GB"/>
        </w:rPr>
        <w:t>’s argument</w:t>
      </w:r>
      <w:r w:rsidRPr="00F27D99">
        <w:rPr>
          <w:rFonts w:eastAsia="Arial Unicode MS"/>
          <w:lang w:val="en-GB"/>
        </w:rPr>
        <w:t xml:space="preserve">.  The Commission cannot give itself </w:t>
      </w:r>
      <w:r w:rsidRPr="00F27D99">
        <w:rPr>
          <w:rFonts w:eastAsia="Arial Unicode MS"/>
          <w:i/>
          <w:lang w:val="en-GB"/>
        </w:rPr>
        <w:t>carte blanche</w:t>
      </w:r>
      <w:r w:rsidRPr="00F27D99">
        <w:rPr>
          <w:rFonts w:eastAsia="Arial Unicode MS"/>
          <w:lang w:val="en-GB"/>
        </w:rPr>
        <w:t xml:space="preserve"> </w:t>
      </w:r>
      <w:r w:rsidR="00D27075" w:rsidRPr="00F27D99">
        <w:rPr>
          <w:rFonts w:eastAsia="Arial Unicode MS"/>
          <w:lang w:val="en-GB"/>
        </w:rPr>
        <w:t xml:space="preserve">to refuse to disclose legal opinions concerning two articles of the Treaty </w:t>
      </w:r>
      <w:r w:rsidR="00DC1F08" w:rsidRPr="00F27D99">
        <w:rPr>
          <w:rFonts w:eastAsia="Arial Unicode MS"/>
          <w:lang w:val="en-GB"/>
        </w:rPr>
        <w:t>which may hypothetically,</w:t>
      </w:r>
      <w:r w:rsidR="00D27075" w:rsidRPr="00F27D99">
        <w:rPr>
          <w:rFonts w:eastAsia="Arial Unicode MS"/>
          <w:lang w:val="en-GB"/>
        </w:rPr>
        <w:t xml:space="preserve"> at some point</w:t>
      </w:r>
      <w:r w:rsidR="00DC1F08" w:rsidRPr="00F27D99">
        <w:rPr>
          <w:rFonts w:eastAsia="Arial Unicode MS"/>
          <w:lang w:val="en-GB"/>
        </w:rPr>
        <w:t>,</w:t>
      </w:r>
      <w:r w:rsidR="00D27075" w:rsidRPr="00F27D99">
        <w:rPr>
          <w:rFonts w:eastAsia="Arial Unicode MS"/>
          <w:lang w:val="en-GB"/>
        </w:rPr>
        <w:t xml:space="preserve"> be relevant</w:t>
      </w:r>
      <w:r w:rsidR="00AD7FE0" w:rsidRPr="00F27D99">
        <w:rPr>
          <w:rFonts w:eastAsia="Arial Unicode MS"/>
          <w:lang w:val="en-GB"/>
        </w:rPr>
        <w:t xml:space="preserve"> to future legislation</w:t>
      </w:r>
      <w:r w:rsidRPr="00F27D99">
        <w:rPr>
          <w:rFonts w:eastAsia="Arial Unicode MS"/>
          <w:lang w:val="en-GB"/>
        </w:rPr>
        <w:t xml:space="preserve">. The Commission gives no example of any other ongoing legislation where the interpretation of these articles could be important. </w:t>
      </w:r>
    </w:p>
    <w:p w14:paraId="6D53D1E8" w14:textId="77777777" w:rsidR="00BF6333" w:rsidRPr="00F27D99" w:rsidRDefault="005D7929" w:rsidP="002D5177">
      <w:pPr>
        <w:pStyle w:val="ListParagraph"/>
        <w:numPr>
          <w:ilvl w:val="0"/>
          <w:numId w:val="16"/>
        </w:numPr>
        <w:spacing w:line="360" w:lineRule="auto"/>
        <w:rPr>
          <w:rFonts w:eastAsia="Arial Unicode MS"/>
          <w:lang w:val="en-GB"/>
        </w:rPr>
      </w:pPr>
      <w:r w:rsidRPr="00F27D99">
        <w:rPr>
          <w:rFonts w:eastAsia="Arial Unicode MS"/>
          <w:u w:val="single"/>
          <w:lang w:val="en-GB"/>
        </w:rPr>
        <w:t>Third,</w:t>
      </w:r>
      <w:r w:rsidRPr="00F27D99">
        <w:rPr>
          <w:rFonts w:eastAsia="Arial Unicode MS"/>
          <w:lang w:val="en-GB"/>
        </w:rPr>
        <w:t xml:space="preserve"> t</w:t>
      </w:r>
      <w:r w:rsidR="00BF6333" w:rsidRPr="00F27D99">
        <w:rPr>
          <w:rFonts w:eastAsia="Arial Unicode MS"/>
          <w:lang w:val="en-GB"/>
        </w:rPr>
        <w:t xml:space="preserve">he Commission </w:t>
      </w:r>
      <w:r w:rsidRPr="00F27D99">
        <w:rPr>
          <w:rFonts w:eastAsia="Arial Unicode MS"/>
          <w:lang w:val="en-GB"/>
        </w:rPr>
        <w:t>argues</w:t>
      </w:r>
      <w:r w:rsidR="00BF6333" w:rsidRPr="00F27D99">
        <w:rPr>
          <w:rFonts w:eastAsia="Arial Unicode MS"/>
          <w:lang w:val="en-GB"/>
        </w:rPr>
        <w:t xml:space="preserve"> that disclosure of the documents would lead to ‘erroneous and premature conclusions about the Commission’s rationale for opting for specific solutions in its proposal’ which would compromise its ‘interest in, and possibilities for, seeking and receiving frank, objective and comprehensive legal advice’. </w:t>
      </w:r>
    </w:p>
    <w:p w14:paraId="43A8A216"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The risk of that interest being undermined must, however, in order to be capable of being relied upon, be reasonably foreseeable and not purely hypothetical, which </w:t>
      </w:r>
      <w:r w:rsidRPr="00F27D99">
        <w:rPr>
          <w:rFonts w:eastAsia="Arial Unicode MS"/>
          <w:lang w:val="en-GB"/>
        </w:rPr>
        <w:lastRenderedPageBreak/>
        <w:t>it is certainly not in this case. The Commission again resorts to unsubstantiated generalities, which are not sufficiently precise to benefit from an Article 4(2)</w:t>
      </w:r>
      <w:r w:rsidR="00A368DD" w:rsidRPr="00F27D99">
        <w:rPr>
          <w:rFonts w:eastAsia="Arial Unicode MS"/>
          <w:lang w:val="en-GB"/>
        </w:rPr>
        <w:t>, second indent,</w:t>
      </w:r>
      <w:r w:rsidRPr="00F27D99">
        <w:rPr>
          <w:rFonts w:eastAsia="Arial Unicode MS"/>
          <w:lang w:val="en-GB"/>
        </w:rPr>
        <w:t xml:space="preserve"> exemption. </w:t>
      </w:r>
    </w:p>
    <w:p w14:paraId="375EFE55" w14:textId="77777777" w:rsidR="00BF6333" w:rsidRPr="00F27D99" w:rsidRDefault="00BF6333"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Further, it is impossible to </w:t>
      </w:r>
      <w:r w:rsidR="005D7929" w:rsidRPr="00F27D99">
        <w:rPr>
          <w:rFonts w:eastAsia="Arial Unicode MS"/>
          <w:lang w:val="en-GB"/>
        </w:rPr>
        <w:t xml:space="preserve">imagine </w:t>
      </w:r>
      <w:r w:rsidRPr="00F27D99">
        <w:rPr>
          <w:rFonts w:eastAsia="Arial Unicode MS"/>
          <w:lang w:val="en-GB"/>
        </w:rPr>
        <w:t>how disclosure would lead to such ‘erroneous’ and ‘premature’ conclusions, seeing as it is clear that the opinions are purely consultative and would not prejudice any eventual Commission decision.</w:t>
      </w:r>
    </w:p>
    <w:p w14:paraId="524FE2A3" w14:textId="77777777" w:rsidR="005D7929" w:rsidRPr="00F27D99" w:rsidRDefault="00BF6333" w:rsidP="002D5177">
      <w:pPr>
        <w:pStyle w:val="ListParagraph"/>
        <w:numPr>
          <w:ilvl w:val="0"/>
          <w:numId w:val="16"/>
        </w:numPr>
        <w:spacing w:line="360" w:lineRule="auto"/>
        <w:rPr>
          <w:lang w:val="en-GB"/>
        </w:rPr>
      </w:pPr>
      <w:r w:rsidRPr="00F27D99">
        <w:rPr>
          <w:rFonts w:eastAsia="Arial Unicode MS"/>
          <w:lang w:val="en-GB"/>
        </w:rPr>
        <w:t xml:space="preserve">In light of the above, it is clear that the Commission has offered little more than assertions, which are not substantiated by detailed arguments. There is no real risk that is reasonably foreseeable and not purely hypothetical </w:t>
      </w:r>
      <w:r w:rsidRPr="00F27D99">
        <w:rPr>
          <w:lang w:val="en-GB"/>
        </w:rPr>
        <w:t>that disclosure of these documents might undermine the protection of legal advice within the meaning of the second indent of Article 4(2) of Regulation 1049/2001.</w:t>
      </w:r>
    </w:p>
    <w:p w14:paraId="5DB6664C" w14:textId="77777777" w:rsidR="002D5177" w:rsidRPr="00F27D99" w:rsidRDefault="00A368DD" w:rsidP="002D5177">
      <w:pPr>
        <w:pStyle w:val="ListParagraph"/>
        <w:numPr>
          <w:ilvl w:val="0"/>
          <w:numId w:val="16"/>
        </w:numPr>
        <w:spacing w:line="360" w:lineRule="auto"/>
        <w:rPr>
          <w:rFonts w:eastAsia="Arial Unicode MS"/>
          <w:lang w:val="en-GB"/>
        </w:rPr>
      </w:pPr>
      <w:r w:rsidRPr="00F27D99">
        <w:rPr>
          <w:lang w:val="en-GB"/>
        </w:rPr>
        <w:t>As stated above, t</w:t>
      </w:r>
      <w:r w:rsidR="00967B0C" w:rsidRPr="00F27D99">
        <w:rPr>
          <w:lang w:val="en-GB"/>
        </w:rPr>
        <w:t>he arguments on overriding p</w:t>
      </w:r>
      <w:r w:rsidRPr="00F27D99">
        <w:rPr>
          <w:lang w:val="en-GB"/>
        </w:rPr>
        <w:t>ublic interest are at section iv, below.</w:t>
      </w:r>
    </w:p>
    <w:p w14:paraId="397F5EB5" w14:textId="77777777" w:rsidR="00BF6333" w:rsidRPr="00F27D99" w:rsidRDefault="008B1EDB" w:rsidP="00984A05">
      <w:pPr>
        <w:pStyle w:val="ListParagraph"/>
        <w:numPr>
          <w:ilvl w:val="0"/>
          <w:numId w:val="19"/>
        </w:numPr>
        <w:spacing w:line="360" w:lineRule="auto"/>
        <w:rPr>
          <w:rFonts w:eastAsia="Arial Unicode MS"/>
          <w:lang w:val="en-GB"/>
        </w:rPr>
      </w:pPr>
      <w:r w:rsidRPr="00F27D99">
        <w:rPr>
          <w:b/>
          <w:lang w:val="en-GB"/>
        </w:rPr>
        <w:t xml:space="preserve">Article 4(3) Regulation 1049/2001, first paragraph </w:t>
      </w:r>
      <w:r w:rsidR="00BF6333" w:rsidRPr="00F27D99">
        <w:rPr>
          <w:b/>
          <w:lang w:val="en-GB"/>
        </w:rPr>
        <w:t>– The Commission’s decision making process</w:t>
      </w:r>
    </w:p>
    <w:p w14:paraId="66610B36" w14:textId="77777777" w:rsidR="00BF6333" w:rsidRPr="00F27D99" w:rsidRDefault="00903A5B" w:rsidP="002D5177">
      <w:pPr>
        <w:pStyle w:val="ListParagraph"/>
        <w:numPr>
          <w:ilvl w:val="0"/>
          <w:numId w:val="16"/>
        </w:numPr>
        <w:spacing w:line="360" w:lineRule="auto"/>
        <w:rPr>
          <w:lang w:val="en-GB"/>
        </w:rPr>
      </w:pPr>
      <w:r w:rsidRPr="00F27D99">
        <w:rPr>
          <w:lang w:val="en-GB"/>
        </w:rPr>
        <w:t>Article 4(3), first paragraph, of the Regulation sets out that “[a]</w:t>
      </w:r>
      <w:proofErr w:type="spellStart"/>
      <w:r w:rsidRPr="00F27D99">
        <w:rPr>
          <w:lang w:val="en-GB"/>
        </w:rPr>
        <w:t>ccess</w:t>
      </w:r>
      <w:proofErr w:type="spellEnd"/>
      <w:r w:rsidRPr="00F27D99">
        <w:rPr>
          <w:lang w:val="en-GB"/>
        </w:rPr>
        <w:t xml:space="preserve"> to a document drawn up by an institution for internal use or received by an institution, shall be refused if disclosure of the document would seriously undermine the institution’s decision-making process, unless there is an overriding public interest in disclosure.”</w:t>
      </w:r>
    </w:p>
    <w:p w14:paraId="33F7FF11" w14:textId="77777777" w:rsidR="00903A5B" w:rsidRPr="00F27D99" w:rsidRDefault="005740BF" w:rsidP="002D5177">
      <w:pPr>
        <w:pStyle w:val="ListParagraph"/>
        <w:numPr>
          <w:ilvl w:val="0"/>
          <w:numId w:val="16"/>
        </w:numPr>
        <w:spacing w:line="360" w:lineRule="auto"/>
        <w:rPr>
          <w:lang w:val="en-GB"/>
        </w:rPr>
      </w:pPr>
      <w:r w:rsidRPr="00F27D99">
        <w:rPr>
          <w:u w:val="single"/>
          <w:lang w:val="en-GB"/>
        </w:rPr>
        <w:t>First</w:t>
      </w:r>
      <w:r w:rsidRPr="00F27D99">
        <w:rPr>
          <w:lang w:val="en-GB"/>
        </w:rPr>
        <w:t xml:space="preserve">, </w:t>
      </w:r>
      <w:r w:rsidR="005416F5" w:rsidRPr="00F27D99">
        <w:rPr>
          <w:lang w:val="en-GB"/>
        </w:rPr>
        <w:t xml:space="preserve">in order to rely on Article 4(3), first paragraph, of the Regulation, there is a requirement that ‘the decision has not been taken by the institution’. </w:t>
      </w:r>
    </w:p>
    <w:p w14:paraId="4C0110F5" w14:textId="77777777" w:rsidR="005416F5" w:rsidRPr="00F27D99" w:rsidRDefault="00A17E92" w:rsidP="002D5177">
      <w:pPr>
        <w:pStyle w:val="ListParagraph"/>
        <w:numPr>
          <w:ilvl w:val="0"/>
          <w:numId w:val="16"/>
        </w:numPr>
        <w:spacing w:line="360" w:lineRule="auto"/>
        <w:rPr>
          <w:lang w:val="en-GB"/>
        </w:rPr>
      </w:pPr>
      <w:r w:rsidRPr="00F27D99">
        <w:rPr>
          <w:lang w:val="en-GB"/>
        </w:rPr>
        <w:t xml:space="preserve">The first paragraph of Article 4(3) of the Regulation refers to documents that relate to a matter where a decision has not been taken by the institution, while the second paragraph of Article 4(3) refers to a more limited set of documents regardless of whether or not a decision has been taken by the institution. The CJEU has stated </w:t>
      </w:r>
      <w:r w:rsidRPr="00F27D99">
        <w:rPr>
          <w:lang w:val="en-GB"/>
        </w:rPr>
        <w:lastRenderedPageBreak/>
        <w:t>that “</w:t>
      </w:r>
      <w:r w:rsidRPr="00F27D99">
        <w:rPr>
          <w:i/>
          <w:lang w:val="en-GB"/>
        </w:rPr>
        <w:t xml:space="preserve">it should be noted that the said Article 4(3) draws a clear distinction precisely by reference to whether a procedure has been closed or not […]. It follows that the Union legislature took the view that, once the decision is adopted, the requirements for protecting the decision-making process are less acute, so that disclosure of any document other than those mentioned in the second subparagraph of Article 4(3) of Regulation No 1049/2001 </w:t>
      </w:r>
      <w:r w:rsidRPr="00F27D99">
        <w:rPr>
          <w:b/>
          <w:i/>
          <w:lang w:val="en-GB"/>
        </w:rPr>
        <w:t xml:space="preserve">can </w:t>
      </w:r>
      <w:r w:rsidRPr="00F27D99">
        <w:rPr>
          <w:b/>
          <w:i/>
          <w:u w:val="single"/>
          <w:lang w:val="en-GB"/>
        </w:rPr>
        <w:t>never</w:t>
      </w:r>
      <w:r w:rsidRPr="00F27D99">
        <w:rPr>
          <w:b/>
          <w:i/>
          <w:lang w:val="en-GB"/>
        </w:rPr>
        <w:t xml:space="preserve"> undermine that process and that refusal of access to such a document </w:t>
      </w:r>
      <w:r w:rsidRPr="00F27D99">
        <w:rPr>
          <w:b/>
          <w:i/>
          <w:u w:val="single"/>
          <w:lang w:val="en-GB"/>
        </w:rPr>
        <w:t>cannot be permitted</w:t>
      </w:r>
      <w:r w:rsidRPr="00F27D99">
        <w:rPr>
          <w:i/>
          <w:lang w:val="en-GB"/>
        </w:rPr>
        <w:t>, even if its disclosure would have seriously undermined that process if it had taken place before the adoption of the decision in question</w:t>
      </w:r>
      <w:r w:rsidRPr="00F27D99">
        <w:rPr>
          <w:lang w:val="en-GB"/>
        </w:rPr>
        <w:t>”</w:t>
      </w:r>
      <w:r w:rsidR="005416F5" w:rsidRPr="00F27D99">
        <w:rPr>
          <w:lang w:val="en-GB"/>
        </w:rPr>
        <w:t xml:space="preserve"> (emphasis added).</w:t>
      </w:r>
      <w:r w:rsidRPr="00F27D99">
        <w:rPr>
          <w:rStyle w:val="FootnoteReference"/>
          <w:lang w:val="en-GB"/>
        </w:rPr>
        <w:footnoteReference w:id="15"/>
      </w:r>
      <w:r w:rsidRPr="00F27D99">
        <w:rPr>
          <w:lang w:val="en-GB"/>
        </w:rPr>
        <w:t xml:space="preserve"> Further, as stated above, the exceptions under Article 4(3) of the Regulation are to be interpreted strictly.</w:t>
      </w:r>
      <w:r w:rsidRPr="00F27D99">
        <w:rPr>
          <w:rStyle w:val="FootnoteReference"/>
          <w:lang w:val="en-GB"/>
        </w:rPr>
        <w:footnoteReference w:id="16"/>
      </w:r>
      <w:r w:rsidRPr="00F27D99">
        <w:rPr>
          <w:lang w:val="en-GB"/>
        </w:rPr>
        <w:t xml:space="preserve"> </w:t>
      </w:r>
    </w:p>
    <w:p w14:paraId="5FF4626A" w14:textId="77777777" w:rsidR="00224017" w:rsidRPr="00F27D99" w:rsidRDefault="00B23CF3" w:rsidP="00F3088F">
      <w:pPr>
        <w:pStyle w:val="ListParagraph"/>
        <w:numPr>
          <w:ilvl w:val="0"/>
          <w:numId w:val="16"/>
        </w:numPr>
        <w:spacing w:line="360" w:lineRule="auto"/>
        <w:rPr>
          <w:lang w:val="en-GB"/>
        </w:rPr>
      </w:pPr>
      <w:r w:rsidRPr="00F27D99">
        <w:rPr>
          <w:lang w:val="en-GB"/>
        </w:rPr>
        <w:t>The decision-making process for all these documents</w:t>
      </w:r>
      <w:r w:rsidR="00D640B1" w:rsidRPr="00F27D99">
        <w:rPr>
          <w:lang w:val="en-GB"/>
        </w:rPr>
        <w:t>, which date from 2006, 2007 and 2013,</w:t>
      </w:r>
      <w:r w:rsidRPr="00F27D99">
        <w:rPr>
          <w:lang w:val="en-GB"/>
        </w:rPr>
        <w:t xml:space="preserve"> has been finalized. Indeed, the Commission itself admits it, stating that “</w:t>
      </w:r>
      <w:r w:rsidRPr="00F27D99">
        <w:rPr>
          <w:i/>
          <w:lang w:val="en-GB"/>
        </w:rPr>
        <w:t>the decision-making process linked to the adoption of the follow-up (2014) Interinstitutional agreement has been finalized</w:t>
      </w:r>
      <w:r w:rsidRPr="00F27D99">
        <w:rPr>
          <w:lang w:val="en-GB"/>
        </w:rPr>
        <w:t xml:space="preserve">.” </w:t>
      </w:r>
      <w:r w:rsidR="00224017" w:rsidRPr="00F27D99">
        <w:rPr>
          <w:lang w:val="en-GB"/>
        </w:rPr>
        <w:t>The fact that the</w:t>
      </w:r>
      <w:r w:rsidR="00DF5CF5" w:rsidRPr="00F27D99">
        <w:rPr>
          <w:lang w:val="en-GB"/>
        </w:rPr>
        <w:t xml:space="preserve"> information contained in the documents is ‘very </w:t>
      </w:r>
      <w:r w:rsidR="00F3088F" w:rsidRPr="00F27D99">
        <w:rPr>
          <w:lang w:val="en-GB"/>
        </w:rPr>
        <w:t>relevant’ or that there is now a new proposal,</w:t>
      </w:r>
      <w:r w:rsidR="00DF5CF5" w:rsidRPr="00F27D99">
        <w:rPr>
          <w:lang w:val="en-GB"/>
        </w:rPr>
        <w:t xml:space="preserve"> </w:t>
      </w:r>
      <w:r w:rsidR="00224017" w:rsidRPr="00F27D99">
        <w:rPr>
          <w:lang w:val="en-GB"/>
        </w:rPr>
        <w:t>does not mean that it can benefit from the exception. A</w:t>
      </w:r>
      <w:r w:rsidR="00DF5CF5" w:rsidRPr="00F27D99">
        <w:rPr>
          <w:lang w:val="en-GB"/>
        </w:rPr>
        <w:t xml:space="preserve">s is clear from the above-cited case law of the CJEU, once the decision is adopted, </w:t>
      </w:r>
      <w:r w:rsidR="00F3088F" w:rsidRPr="00F27D99">
        <w:rPr>
          <w:lang w:val="en-GB"/>
        </w:rPr>
        <w:t xml:space="preserve">meaning the 2014 Interinstitutional agreement (“IIA”), </w:t>
      </w:r>
      <w:r w:rsidR="00DF5CF5" w:rsidRPr="00F27D99">
        <w:rPr>
          <w:lang w:val="en-GB"/>
        </w:rPr>
        <w:t>refusal of access to the requested documents cannot be permitted</w:t>
      </w:r>
      <w:r w:rsidR="00B36B9D" w:rsidRPr="00F27D99">
        <w:rPr>
          <w:lang w:val="en-GB"/>
        </w:rPr>
        <w:t xml:space="preserve"> under Article 4(3), first paragraph</w:t>
      </w:r>
      <w:r w:rsidR="00DF5CF5" w:rsidRPr="00F27D99">
        <w:rPr>
          <w:lang w:val="en-GB"/>
        </w:rPr>
        <w:t xml:space="preserve">. </w:t>
      </w:r>
    </w:p>
    <w:p w14:paraId="3D706D6D" w14:textId="77777777" w:rsidR="00B23CF3" w:rsidRPr="00F27D99" w:rsidRDefault="00DF5CF5" w:rsidP="002D5177">
      <w:pPr>
        <w:pStyle w:val="ListParagraph"/>
        <w:numPr>
          <w:ilvl w:val="0"/>
          <w:numId w:val="16"/>
        </w:numPr>
        <w:spacing w:line="360" w:lineRule="auto"/>
        <w:rPr>
          <w:lang w:val="en-GB"/>
        </w:rPr>
      </w:pPr>
      <w:r w:rsidRPr="00F27D99">
        <w:rPr>
          <w:lang w:val="en-GB"/>
        </w:rPr>
        <w:t xml:space="preserve">This means that the Commission cannot rely on Article 4(3), first paragraph, of the Regulation. </w:t>
      </w:r>
    </w:p>
    <w:p w14:paraId="1D22BE2D" w14:textId="77777777" w:rsidR="00521280" w:rsidRPr="00F27D99" w:rsidRDefault="00B36B9D" w:rsidP="002D5177">
      <w:pPr>
        <w:pStyle w:val="ListParagraph"/>
        <w:numPr>
          <w:ilvl w:val="0"/>
          <w:numId w:val="16"/>
        </w:numPr>
        <w:spacing w:line="360" w:lineRule="auto"/>
        <w:rPr>
          <w:lang w:val="en-GB"/>
        </w:rPr>
      </w:pPr>
      <w:r w:rsidRPr="00F27D99">
        <w:rPr>
          <w:lang w:val="en-GB"/>
        </w:rPr>
        <w:t xml:space="preserve">Even if </w:t>
      </w:r>
      <w:r w:rsidR="00521280" w:rsidRPr="00F27D99">
        <w:rPr>
          <w:lang w:val="en-GB"/>
        </w:rPr>
        <w:t>a decision has not been taken by the Commission—which is not the case—in order to rely on Article 4(3), first paragraph, of the Regulation, the Commission must establish that “</w:t>
      </w:r>
      <w:r w:rsidR="00521280" w:rsidRPr="00F27D99">
        <w:rPr>
          <w:i/>
          <w:lang w:val="en-GB"/>
        </w:rPr>
        <w:t xml:space="preserve">access to the document in question […] [is] likely specifically and actually to undermine the protection of [its] decision-making process and </w:t>
      </w:r>
      <w:r w:rsidR="00521280" w:rsidRPr="00F27D99">
        <w:rPr>
          <w:i/>
          <w:lang w:val="en-GB"/>
        </w:rPr>
        <w:lastRenderedPageBreak/>
        <w:t>that the risk of that interest being undermined [is] reasonably foreseeable and not purely hypothetical.</w:t>
      </w:r>
      <w:r w:rsidR="00521280" w:rsidRPr="00F27D99">
        <w:rPr>
          <w:lang w:val="en-GB"/>
        </w:rPr>
        <w:t>”</w:t>
      </w:r>
      <w:r w:rsidR="00521280" w:rsidRPr="00F27D99">
        <w:rPr>
          <w:rStyle w:val="FootnoteReference"/>
          <w:lang w:val="en-GB"/>
        </w:rPr>
        <w:footnoteReference w:id="17"/>
      </w:r>
      <w:r w:rsidR="00521280" w:rsidRPr="00F27D99">
        <w:rPr>
          <w:lang w:val="en-GB"/>
        </w:rPr>
        <w:t xml:space="preserve"> It has further been held that “</w:t>
      </w:r>
      <w:r w:rsidR="00521280" w:rsidRPr="00F27D99">
        <w:rPr>
          <w:i/>
          <w:lang w:val="en-GB"/>
        </w:rPr>
        <w:t>the decision-making process has to be ‘seriously’</w:t>
      </w:r>
      <w:r w:rsidR="00160DF1" w:rsidRPr="00F27D99">
        <w:rPr>
          <w:i/>
          <w:lang w:val="en-GB"/>
        </w:rPr>
        <w:t xml:space="preserve"> </w:t>
      </w:r>
      <w:r w:rsidR="00521280" w:rsidRPr="00F27D99">
        <w:rPr>
          <w:i/>
          <w:lang w:val="en-GB"/>
        </w:rPr>
        <w:t xml:space="preserve">undermined. That is the case, in particular, where the disclosure of the documents in question has a </w:t>
      </w:r>
      <w:r w:rsidR="00521280" w:rsidRPr="00F27D99">
        <w:rPr>
          <w:b/>
          <w:i/>
          <w:u w:val="single"/>
          <w:lang w:val="en-GB"/>
        </w:rPr>
        <w:t>substantial impact</w:t>
      </w:r>
      <w:r w:rsidR="00521280" w:rsidRPr="00F27D99">
        <w:rPr>
          <w:i/>
          <w:lang w:val="en-GB"/>
        </w:rPr>
        <w:t xml:space="preserve"> on the decision-making process. The assessment of seriousness </w:t>
      </w:r>
      <w:r w:rsidR="00160DF1" w:rsidRPr="00F27D99">
        <w:rPr>
          <w:i/>
          <w:lang w:val="en-GB"/>
        </w:rPr>
        <w:t>depends</w:t>
      </w:r>
      <w:r w:rsidR="00521280" w:rsidRPr="00F27D99">
        <w:rPr>
          <w:i/>
          <w:lang w:val="en-GB"/>
        </w:rPr>
        <w:t xml:space="preserve"> on all the circumstances of the case including, inter alia, the negative effects on the decision-making process relied on by the institution as regards disclosure of the documents in question</w:t>
      </w:r>
      <w:r w:rsidR="00521280" w:rsidRPr="00F27D99">
        <w:rPr>
          <w:lang w:val="en-GB"/>
        </w:rPr>
        <w:t>”</w:t>
      </w:r>
      <w:r w:rsidR="002B07DE" w:rsidRPr="00F27D99">
        <w:rPr>
          <w:lang w:val="en-GB"/>
        </w:rPr>
        <w:t xml:space="preserve"> (emphasis added).</w:t>
      </w:r>
      <w:r w:rsidR="00160DF1" w:rsidRPr="00F27D99">
        <w:rPr>
          <w:rStyle w:val="FootnoteReference"/>
          <w:lang w:val="en-GB"/>
        </w:rPr>
        <w:footnoteReference w:id="18"/>
      </w:r>
    </w:p>
    <w:p w14:paraId="58E67413" w14:textId="77777777" w:rsidR="00321826" w:rsidRPr="00F27D99" w:rsidRDefault="00A2248C" w:rsidP="002D5177">
      <w:pPr>
        <w:pStyle w:val="ListParagraph"/>
        <w:numPr>
          <w:ilvl w:val="0"/>
          <w:numId w:val="16"/>
        </w:numPr>
        <w:spacing w:line="360" w:lineRule="auto"/>
        <w:rPr>
          <w:lang w:val="en-GB"/>
        </w:rPr>
      </w:pPr>
      <w:r w:rsidRPr="00F27D99">
        <w:rPr>
          <w:lang w:val="en-GB"/>
        </w:rPr>
        <w:t>T</w:t>
      </w:r>
      <w:r w:rsidR="00160DF1" w:rsidRPr="00F27D99">
        <w:rPr>
          <w:lang w:val="en-GB"/>
        </w:rPr>
        <w:t xml:space="preserve">he Commission is concerned that the </w:t>
      </w:r>
      <w:r w:rsidR="00BF6333" w:rsidRPr="00F27D99">
        <w:rPr>
          <w:lang w:val="en-GB"/>
        </w:rPr>
        <w:t>doc</w:t>
      </w:r>
      <w:r w:rsidR="00160DF1" w:rsidRPr="00F27D99">
        <w:rPr>
          <w:lang w:val="en-GB"/>
        </w:rPr>
        <w:t>ument</w:t>
      </w:r>
      <w:r w:rsidR="00F2597C" w:rsidRPr="00F27D99">
        <w:rPr>
          <w:lang w:val="en-GB"/>
        </w:rPr>
        <w:t xml:space="preserve">s could allow external parties </w:t>
      </w:r>
      <w:r w:rsidR="00BF6333" w:rsidRPr="00F27D99">
        <w:rPr>
          <w:lang w:val="en-GB"/>
        </w:rPr>
        <w:t xml:space="preserve">to exert pressure on the decision </w:t>
      </w:r>
      <w:r w:rsidR="00F2597C" w:rsidRPr="00F27D99">
        <w:rPr>
          <w:lang w:val="en-GB"/>
        </w:rPr>
        <w:t>and on the negotiation process</w:t>
      </w:r>
      <w:r w:rsidR="000101F2" w:rsidRPr="00F27D99">
        <w:rPr>
          <w:lang w:val="en-GB"/>
        </w:rPr>
        <w:t xml:space="preserve">. </w:t>
      </w:r>
      <w:r w:rsidR="00321826" w:rsidRPr="00F27D99">
        <w:rPr>
          <w:lang w:val="en-GB"/>
        </w:rPr>
        <w:t>The Commission adds that as the revision of the IIA is attracting a lot of attention from parties representing opposing interests, the risk of external pressure is reasonably foreseeable and not purely hypothetical.</w:t>
      </w:r>
    </w:p>
    <w:p w14:paraId="1BFFF1CB" w14:textId="77777777" w:rsidR="000101F2" w:rsidRPr="00F27D99" w:rsidRDefault="00165007" w:rsidP="002D5177">
      <w:pPr>
        <w:pStyle w:val="ListParagraph"/>
        <w:numPr>
          <w:ilvl w:val="0"/>
          <w:numId w:val="16"/>
        </w:numPr>
        <w:spacing w:line="360" w:lineRule="auto"/>
        <w:rPr>
          <w:lang w:val="en-GB"/>
        </w:rPr>
      </w:pPr>
      <w:r w:rsidRPr="00F27D99">
        <w:rPr>
          <w:lang w:val="en-GB"/>
        </w:rPr>
        <w:t xml:space="preserve">The Commission here merely pays lip service to the wording of the case law which requires that the interest protected by the exception is reasonably foreseeable and not purely hypothetical, </w:t>
      </w:r>
      <w:r w:rsidR="00AD7FE0" w:rsidRPr="00F27D99">
        <w:rPr>
          <w:lang w:val="en-GB"/>
        </w:rPr>
        <w:t xml:space="preserve">but </w:t>
      </w:r>
      <w:r w:rsidRPr="00F27D99">
        <w:rPr>
          <w:lang w:val="en-GB"/>
        </w:rPr>
        <w:t xml:space="preserve">without explaining </w:t>
      </w:r>
      <w:r w:rsidRPr="00F27D99">
        <w:rPr>
          <w:i/>
          <w:lang w:val="en-GB"/>
        </w:rPr>
        <w:t>how</w:t>
      </w:r>
      <w:r w:rsidRPr="00F27D99">
        <w:rPr>
          <w:lang w:val="en-GB"/>
        </w:rPr>
        <w:t xml:space="preserve"> access to the documents could </w:t>
      </w:r>
      <w:r w:rsidRPr="00F27D99">
        <w:rPr>
          <w:b/>
          <w:lang w:val="en-GB"/>
        </w:rPr>
        <w:t>specifically</w:t>
      </w:r>
      <w:r w:rsidRPr="00F27D99">
        <w:rPr>
          <w:lang w:val="en-GB"/>
        </w:rPr>
        <w:t xml:space="preserve"> and </w:t>
      </w:r>
      <w:r w:rsidRPr="00F27D99">
        <w:rPr>
          <w:b/>
          <w:lang w:val="en-GB"/>
        </w:rPr>
        <w:t>actually</w:t>
      </w:r>
      <w:r w:rsidRPr="00F27D99">
        <w:rPr>
          <w:lang w:val="en-GB"/>
        </w:rPr>
        <w:t xml:space="preserve"> undermine the interest protected by the Article 4(3) exception</w:t>
      </w:r>
      <w:r w:rsidR="000101F2" w:rsidRPr="00F27D99">
        <w:rPr>
          <w:lang w:val="en-GB"/>
        </w:rPr>
        <w:t>.</w:t>
      </w:r>
    </w:p>
    <w:p w14:paraId="44EBBA02" w14:textId="77777777" w:rsidR="000101F2" w:rsidRPr="00F27D99" w:rsidRDefault="00321826" w:rsidP="002D5177">
      <w:pPr>
        <w:pStyle w:val="ListParagraph"/>
        <w:numPr>
          <w:ilvl w:val="0"/>
          <w:numId w:val="16"/>
        </w:numPr>
        <w:spacing w:line="360" w:lineRule="auto"/>
        <w:rPr>
          <w:lang w:val="en-GB"/>
        </w:rPr>
      </w:pPr>
      <w:r w:rsidRPr="00F27D99">
        <w:rPr>
          <w:lang w:val="en-GB"/>
        </w:rPr>
        <w:t xml:space="preserve">Furthermore, and unlike for the Article 4(2) exceptions, refusal of requested documents is only permitted if disclosure would </w:t>
      </w:r>
      <w:r w:rsidRPr="00F27D99">
        <w:rPr>
          <w:b/>
          <w:lang w:val="en-GB"/>
        </w:rPr>
        <w:t>seriously</w:t>
      </w:r>
      <w:r w:rsidRPr="00F27D99">
        <w:rPr>
          <w:lang w:val="en-GB"/>
        </w:rPr>
        <w:t xml:space="preserve"> undermine the institutions decision-making process</w:t>
      </w:r>
      <w:r w:rsidR="000101F2" w:rsidRPr="00F27D99">
        <w:rPr>
          <w:lang w:val="en-GB"/>
        </w:rPr>
        <w:t>,</w:t>
      </w:r>
      <w:r w:rsidR="00F3088F" w:rsidRPr="00F27D99">
        <w:rPr>
          <w:lang w:val="en-GB"/>
        </w:rPr>
        <w:t xml:space="preserve"> in that it would have a </w:t>
      </w:r>
      <w:r w:rsidR="00F3088F" w:rsidRPr="00F27D99">
        <w:rPr>
          <w:b/>
          <w:lang w:val="en-GB"/>
        </w:rPr>
        <w:t>substantial</w:t>
      </w:r>
      <w:r w:rsidR="00F3088F" w:rsidRPr="00F27D99">
        <w:rPr>
          <w:lang w:val="en-GB"/>
        </w:rPr>
        <w:t xml:space="preserve"> impact on the decision-making process,</w:t>
      </w:r>
      <w:r w:rsidR="000101F2" w:rsidRPr="00F27D99">
        <w:rPr>
          <w:lang w:val="en-GB"/>
        </w:rPr>
        <w:t xml:space="preserve"> which </w:t>
      </w:r>
      <w:r w:rsidR="00F3088F" w:rsidRPr="00F27D99">
        <w:rPr>
          <w:lang w:val="en-GB"/>
        </w:rPr>
        <w:t xml:space="preserve">the Commission </w:t>
      </w:r>
      <w:r w:rsidR="000101F2" w:rsidRPr="00F27D99">
        <w:rPr>
          <w:lang w:val="en-GB"/>
        </w:rPr>
        <w:t xml:space="preserve">similarly does not </w:t>
      </w:r>
      <w:r w:rsidR="00F3088F" w:rsidRPr="00F27D99">
        <w:rPr>
          <w:lang w:val="en-GB"/>
        </w:rPr>
        <w:t>demonstrate</w:t>
      </w:r>
      <w:r w:rsidR="000101F2" w:rsidRPr="00F27D99">
        <w:rPr>
          <w:lang w:val="en-GB"/>
        </w:rPr>
        <w:t xml:space="preserve"> in this case.</w:t>
      </w:r>
    </w:p>
    <w:p w14:paraId="224BC096" w14:textId="77777777" w:rsidR="00D44D51" w:rsidRPr="00F27D99" w:rsidRDefault="00D44D51" w:rsidP="00D44D51">
      <w:pPr>
        <w:pStyle w:val="ListParagraph"/>
        <w:numPr>
          <w:ilvl w:val="0"/>
          <w:numId w:val="16"/>
        </w:numPr>
        <w:spacing w:line="360" w:lineRule="auto"/>
        <w:rPr>
          <w:lang w:val="en-GB"/>
        </w:rPr>
      </w:pPr>
      <w:r w:rsidRPr="00F27D99">
        <w:rPr>
          <w:lang w:val="en-GB"/>
        </w:rPr>
        <w:t xml:space="preserve">The fact that the requested documents could allow external parties to exert pressure on the decision and on the negotiation process cannot constitute in itself </w:t>
      </w:r>
      <w:r w:rsidRPr="00F27D99">
        <w:rPr>
          <w:lang w:val="en-GB"/>
        </w:rPr>
        <w:lastRenderedPageBreak/>
        <w:t>an objective reason sufficient to justify the concern that the decision-making process would be seriously undermined, without calling into question the very principle of transparency intended by the Treaty.</w:t>
      </w:r>
    </w:p>
    <w:p w14:paraId="4F27F682" w14:textId="4557D893" w:rsidR="00165007" w:rsidRPr="00F27D99" w:rsidRDefault="00A2248C"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In light of the above, it is clear that the Commission has again offered little more than assertions, which are not substantiated by detailed arguments. There is no real risk that is reasonably foreseeable and not purely hypothetical </w:t>
      </w:r>
      <w:r w:rsidRPr="00F27D99">
        <w:rPr>
          <w:lang w:val="en-GB"/>
        </w:rPr>
        <w:t>that disclosure of these documents might seriously undermine the Commission’s decision-making process within the meaning of the first paragraph of Article 4(</w:t>
      </w:r>
      <w:r w:rsidR="00DC038F">
        <w:rPr>
          <w:lang w:val="en-GB"/>
        </w:rPr>
        <w:t>3</w:t>
      </w:r>
      <w:r w:rsidRPr="00F27D99">
        <w:rPr>
          <w:lang w:val="en-GB"/>
        </w:rPr>
        <w:t>) of Regulation 1049/2001.</w:t>
      </w:r>
    </w:p>
    <w:p w14:paraId="4B28C606" w14:textId="77777777" w:rsidR="00BF6333" w:rsidRPr="00F27D99" w:rsidRDefault="00967B0C" w:rsidP="00984A05">
      <w:pPr>
        <w:pStyle w:val="ListParagraph"/>
        <w:numPr>
          <w:ilvl w:val="0"/>
          <w:numId w:val="19"/>
        </w:numPr>
        <w:rPr>
          <w:rFonts w:eastAsia="Arial Unicode MS"/>
          <w:b/>
          <w:lang w:val="en-GB"/>
        </w:rPr>
      </w:pPr>
      <w:r w:rsidRPr="00F27D99">
        <w:rPr>
          <w:rFonts w:eastAsia="Arial Unicode MS"/>
          <w:b/>
          <w:lang w:val="en-GB"/>
        </w:rPr>
        <w:t>Overriding public interest in disclosure</w:t>
      </w:r>
    </w:p>
    <w:p w14:paraId="7641A420" w14:textId="37AEBB65" w:rsidR="003079B2" w:rsidRPr="00F27D99" w:rsidRDefault="00DC038F" w:rsidP="002D5177">
      <w:pPr>
        <w:pStyle w:val="ListParagraph"/>
        <w:numPr>
          <w:ilvl w:val="0"/>
          <w:numId w:val="16"/>
        </w:numPr>
        <w:spacing w:line="360" w:lineRule="auto"/>
        <w:rPr>
          <w:rFonts w:eastAsia="Arial Unicode MS"/>
          <w:lang w:val="en-GB"/>
        </w:rPr>
      </w:pPr>
      <w:r>
        <w:rPr>
          <w:rFonts w:eastAsia="Arial Unicode MS"/>
          <w:lang w:val="en-GB"/>
        </w:rPr>
        <w:t>E</w:t>
      </w:r>
      <w:r w:rsidR="003079B2" w:rsidRPr="00F27D99">
        <w:rPr>
          <w:rFonts w:eastAsia="Arial Unicode MS"/>
          <w:lang w:val="en-GB"/>
        </w:rPr>
        <w:t xml:space="preserve">ven if it were to be regarded that disclosure </w:t>
      </w:r>
      <w:r w:rsidR="003079B2" w:rsidRPr="00F27D99">
        <w:rPr>
          <w:rFonts w:eastAsia="Arial Unicode MS"/>
          <w:i/>
          <w:lang w:val="en-GB"/>
        </w:rPr>
        <w:t>would</w:t>
      </w:r>
      <w:r w:rsidR="003079B2" w:rsidRPr="00F27D99">
        <w:rPr>
          <w:rFonts w:eastAsia="Arial Unicode MS"/>
          <w:lang w:val="en-GB"/>
        </w:rPr>
        <w:t xml:space="preserve"> undermine the given interest</w:t>
      </w:r>
      <w:r w:rsidR="00967B0C" w:rsidRPr="00F27D99">
        <w:rPr>
          <w:rFonts w:eastAsia="Arial Unicode MS"/>
          <w:lang w:val="en-GB"/>
        </w:rPr>
        <w:t xml:space="preserve"> set out at Article 4(2), second indent</w:t>
      </w:r>
      <w:r w:rsidR="003551D4" w:rsidRPr="00F27D99">
        <w:rPr>
          <w:rFonts w:eastAsia="Arial Unicode MS"/>
          <w:lang w:val="en-GB"/>
        </w:rPr>
        <w:t>,</w:t>
      </w:r>
      <w:r w:rsidR="00967B0C" w:rsidRPr="00F27D99">
        <w:rPr>
          <w:rFonts w:eastAsia="Arial Unicode MS"/>
          <w:lang w:val="en-GB"/>
        </w:rPr>
        <w:t xml:space="preserve"> and Article 4(3), first paragraph, of the Regulation</w:t>
      </w:r>
      <w:r w:rsidR="003079B2" w:rsidRPr="00F27D99">
        <w:rPr>
          <w:rFonts w:eastAsia="Arial Unicode MS"/>
          <w:lang w:val="en-GB"/>
        </w:rPr>
        <w:t>, there would nevertheless be an overriding public interest in fully disclosing the documents.</w:t>
      </w:r>
    </w:p>
    <w:p w14:paraId="4F42588F"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The Commission </w:t>
      </w:r>
      <w:r w:rsidR="00A572AC" w:rsidRPr="00F27D99">
        <w:rPr>
          <w:rFonts w:eastAsia="Arial Unicode MS"/>
          <w:lang w:val="en-GB"/>
        </w:rPr>
        <w:t>argues in its Decision that it has not been able to identify any public interests capable of overriding the interests protected by Article 4(2)</w:t>
      </w:r>
      <w:r w:rsidR="00793A60" w:rsidRPr="00F27D99">
        <w:rPr>
          <w:rFonts w:eastAsia="Arial Unicode MS"/>
          <w:lang w:val="en-GB"/>
        </w:rPr>
        <w:t>, second ind</w:t>
      </w:r>
      <w:r w:rsidR="00A572AC" w:rsidRPr="00F27D99">
        <w:rPr>
          <w:rFonts w:eastAsia="Arial Unicode MS"/>
          <w:lang w:val="en-GB"/>
        </w:rPr>
        <w:t xml:space="preserve">ent, and Article 4(3), first paragraph, of Regulation 1049/2001, and dismisses </w:t>
      </w:r>
      <w:r w:rsidR="00F3088F" w:rsidRPr="00F27D99">
        <w:rPr>
          <w:rFonts w:eastAsia="Arial Unicode MS"/>
          <w:lang w:val="en-GB"/>
        </w:rPr>
        <w:t>the arguments</w:t>
      </w:r>
      <w:r w:rsidR="00A572AC" w:rsidRPr="00F27D99">
        <w:rPr>
          <w:rFonts w:eastAsia="Arial Unicode MS"/>
          <w:lang w:val="en-GB"/>
        </w:rPr>
        <w:t xml:space="preserve"> contained in the confirmatory application.</w:t>
      </w:r>
    </w:p>
    <w:p w14:paraId="3F4C4662" w14:textId="77777777" w:rsidR="003079B2" w:rsidRPr="00F27D99" w:rsidRDefault="003079B2" w:rsidP="00F3088F">
      <w:pPr>
        <w:pStyle w:val="ListParagraph"/>
        <w:numPr>
          <w:ilvl w:val="0"/>
          <w:numId w:val="20"/>
        </w:numPr>
        <w:spacing w:line="360" w:lineRule="auto"/>
        <w:rPr>
          <w:rFonts w:eastAsia="Arial Unicode MS"/>
          <w:lang w:val="en-GB"/>
        </w:rPr>
      </w:pPr>
      <w:r w:rsidRPr="00F27D99">
        <w:rPr>
          <w:rFonts w:eastAsia="Arial Unicode MS"/>
          <w:lang w:val="en-GB"/>
        </w:rPr>
        <w:t>Overriding public interest in a balanced and informed public debate to facilitate better decision making</w:t>
      </w:r>
    </w:p>
    <w:p w14:paraId="6C34EEAC"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There is overwhelming public support for a mandatory transparency register; 80% of EU citizens agree there should be mandatory regulation of lobbying.</w:t>
      </w:r>
      <w:r w:rsidRPr="00F27D99">
        <w:rPr>
          <w:rStyle w:val="FootnoteReference"/>
          <w:rFonts w:eastAsia="Arial Unicode MS"/>
          <w:lang w:val="en-GB"/>
        </w:rPr>
        <w:footnoteReference w:id="19"/>
      </w:r>
      <w:r w:rsidRPr="00F27D99">
        <w:rPr>
          <w:rFonts w:eastAsia="Arial Unicode MS"/>
          <w:lang w:val="en-GB"/>
        </w:rPr>
        <w:t xml:space="preserve"> The European Ombudsman</w:t>
      </w:r>
      <w:r w:rsidRPr="00F27D99">
        <w:rPr>
          <w:rStyle w:val="FootnoteReference"/>
          <w:rFonts w:eastAsia="Arial Unicode MS"/>
          <w:lang w:val="en-GB"/>
        </w:rPr>
        <w:footnoteReference w:id="20"/>
      </w:r>
      <w:r w:rsidRPr="00F27D99">
        <w:rPr>
          <w:rFonts w:eastAsia="Arial Unicode MS"/>
          <w:lang w:val="en-GB"/>
        </w:rPr>
        <w:t xml:space="preserve"> as well as civil society organisations, including leading groups such as ALTER EU and Transparency International, have taken a clear </w:t>
      </w:r>
      <w:r w:rsidRPr="00F27D99">
        <w:rPr>
          <w:rFonts w:eastAsia="Arial Unicode MS"/>
          <w:lang w:val="en-GB"/>
        </w:rPr>
        <w:lastRenderedPageBreak/>
        <w:t>position in favour of a legally-binding register. Independent legal advice commissioned by ALTER EU concluded that there is a legal basis for a mandatory register.</w:t>
      </w:r>
      <w:r w:rsidRPr="00F27D99">
        <w:rPr>
          <w:rStyle w:val="FootnoteReference"/>
          <w:rFonts w:eastAsia="Arial Unicode MS"/>
          <w:lang w:val="en-GB"/>
        </w:rPr>
        <w:footnoteReference w:id="21"/>
      </w:r>
      <w:r w:rsidRPr="00F27D99">
        <w:rPr>
          <w:rFonts w:eastAsia="Arial Unicode MS"/>
          <w:lang w:val="en-GB"/>
        </w:rPr>
        <w:t xml:space="preserve"> </w:t>
      </w:r>
    </w:p>
    <w:p w14:paraId="45B52ADB"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The European Parliament, the only directly-elected body of the EU institutions and representative of EU citizens, has also declared since 2008 that it prefers a legally-binding transparency register "on the basis of Article 352 TFEU".</w:t>
      </w:r>
      <w:r w:rsidRPr="00F27D99">
        <w:rPr>
          <w:rStyle w:val="FootnoteReference"/>
          <w:rFonts w:eastAsia="Arial Unicode MS"/>
          <w:lang w:val="en-GB"/>
        </w:rPr>
        <w:footnoteReference w:id="22"/>
      </w:r>
      <w:r w:rsidRPr="00F27D99">
        <w:rPr>
          <w:rFonts w:eastAsia="Arial Unicode MS"/>
          <w:lang w:val="en-GB"/>
        </w:rPr>
        <w:t xml:space="preserve"> On the other hand, the Commission in its transparency register roadmap outlined a "choice of IIA instrument" as the more appropriate option.</w:t>
      </w:r>
      <w:r w:rsidRPr="00F27D99">
        <w:rPr>
          <w:rStyle w:val="FootnoteReference"/>
          <w:rFonts w:eastAsia="Arial Unicode MS"/>
          <w:lang w:val="en-GB"/>
        </w:rPr>
        <w:footnoteReference w:id="23"/>
      </w:r>
      <w:r w:rsidRPr="00F27D99">
        <w:rPr>
          <w:rFonts w:eastAsia="Arial Unicode MS"/>
          <w:lang w:val="en-GB"/>
        </w:rPr>
        <w:t xml:space="preserve"> The path being taken by the Commission diverges from the view held by many stakeholders and citizens that reform of the transparency register need be based on Article 352 TFEU.  </w:t>
      </w:r>
    </w:p>
    <w:p w14:paraId="5239DC77" w14:textId="77777777" w:rsidR="00A572AC"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It should also be noted that the Court stated in </w:t>
      </w:r>
      <w:r w:rsidRPr="00F27D99">
        <w:rPr>
          <w:rFonts w:eastAsia="Arial Unicode MS"/>
          <w:i/>
          <w:lang w:val="en-GB"/>
        </w:rPr>
        <w:t>Turco</w:t>
      </w:r>
      <w:r w:rsidRPr="00F27D99">
        <w:rPr>
          <w:rFonts w:eastAsia="Arial Unicode MS"/>
          <w:lang w:val="en-GB"/>
        </w:rPr>
        <w:t xml:space="preserve"> that openness “</w:t>
      </w:r>
      <w:r w:rsidRPr="00F27D99">
        <w:rPr>
          <w:rFonts w:eastAsia="Arial Unicode MS"/>
          <w:i/>
          <w:lang w:val="en-GB"/>
        </w:rPr>
        <w:t>contributes to strengthening democracy by allowing citizens to scrutinize all the information which has formed the basis of a legislative act. The possibility for citizens to find out the considerations underpinning legislative action is a precondition for the effective exercise of their democratic rights</w:t>
      </w:r>
      <w:r w:rsidRPr="00F27D99">
        <w:rPr>
          <w:rFonts w:eastAsia="Arial Unicode MS"/>
          <w:lang w:val="en-GB"/>
        </w:rPr>
        <w:t>.”</w:t>
      </w:r>
      <w:r w:rsidRPr="00F27D99">
        <w:rPr>
          <w:rStyle w:val="FootnoteReference"/>
          <w:rFonts w:eastAsia="Arial Unicode MS"/>
          <w:lang w:val="en-GB"/>
        </w:rPr>
        <w:footnoteReference w:id="24"/>
      </w:r>
      <w:r w:rsidRPr="00F27D99">
        <w:rPr>
          <w:rFonts w:eastAsia="Arial Unicode MS"/>
          <w:lang w:val="en-GB"/>
        </w:rPr>
        <w:t xml:space="preserve"> </w:t>
      </w:r>
    </w:p>
    <w:p w14:paraId="10CB90F5" w14:textId="77777777" w:rsidR="00A572AC" w:rsidRPr="00F27D99" w:rsidRDefault="00A572AC"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The Commission argues in its Decision that a public consultation is enough to guarantee a balanced and informed public debate to facilitate better decision making. </w:t>
      </w:r>
    </w:p>
    <w:p w14:paraId="6C84C4AB" w14:textId="77777777" w:rsidR="003079B2" w:rsidRPr="00F27D99" w:rsidRDefault="00A572AC" w:rsidP="002D5177">
      <w:pPr>
        <w:pStyle w:val="ListParagraph"/>
        <w:numPr>
          <w:ilvl w:val="0"/>
          <w:numId w:val="16"/>
        </w:numPr>
        <w:spacing w:line="360" w:lineRule="auto"/>
        <w:rPr>
          <w:rFonts w:eastAsia="Arial Unicode MS"/>
          <w:lang w:val="en-GB"/>
        </w:rPr>
      </w:pPr>
      <w:r w:rsidRPr="00F27D99">
        <w:rPr>
          <w:rFonts w:eastAsia="Arial Unicode MS"/>
          <w:lang w:val="en-GB"/>
        </w:rPr>
        <w:t>However, a public consultation only allows the public to discuss what is publicly known. B</w:t>
      </w:r>
      <w:r w:rsidR="003079B2" w:rsidRPr="00F27D99">
        <w:rPr>
          <w:rFonts w:eastAsia="Arial Unicode MS"/>
          <w:lang w:val="en-GB"/>
        </w:rPr>
        <w:t xml:space="preserve">y not sharing its legal assessment of an initiative of public interest, the European Commission is </w:t>
      </w:r>
      <w:r w:rsidR="003079B2" w:rsidRPr="00F27D99">
        <w:rPr>
          <w:rFonts w:eastAsia="Arial Unicode MS"/>
          <w:u w:val="single"/>
          <w:lang w:val="en-GB"/>
        </w:rPr>
        <w:t xml:space="preserve">stymying public debate on this topic, as the public is </w:t>
      </w:r>
      <w:r w:rsidR="003079B2" w:rsidRPr="00F27D99">
        <w:rPr>
          <w:rFonts w:eastAsia="Arial Unicode MS"/>
          <w:u w:val="single"/>
          <w:lang w:val="en-GB"/>
        </w:rPr>
        <w:lastRenderedPageBreak/>
        <w:t xml:space="preserve">prevented from discussing </w:t>
      </w:r>
      <w:r w:rsidRPr="00F27D99">
        <w:rPr>
          <w:rFonts w:eastAsia="Arial Unicode MS"/>
          <w:u w:val="single"/>
          <w:lang w:val="en-GB"/>
        </w:rPr>
        <w:t xml:space="preserve">in a truly informed manner, </w:t>
      </w:r>
      <w:r w:rsidR="003079B2" w:rsidRPr="00F27D99">
        <w:rPr>
          <w:rFonts w:eastAsia="Arial Unicode MS"/>
          <w:u w:val="single"/>
          <w:lang w:val="en-GB"/>
        </w:rPr>
        <w:t>and from comparing and contrasting the different legal perspectives</w:t>
      </w:r>
      <w:r w:rsidRPr="00F27D99">
        <w:rPr>
          <w:rFonts w:eastAsia="Arial Unicode MS"/>
          <w:lang w:val="en-GB"/>
        </w:rPr>
        <w:t>, including in responses to the public consultation. If the Commission truly wants to “ensure full accountability, a balanced debate and citizen participation”, it should fully disclose the requested documents.</w:t>
      </w:r>
    </w:p>
    <w:p w14:paraId="3C79C0C5"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There exists an overriding public interest in having the documents made fully public in order to allow an informed public debate on the reform of the transparency register.</w:t>
      </w:r>
    </w:p>
    <w:p w14:paraId="25E507BB" w14:textId="77777777" w:rsidR="003079B2" w:rsidRPr="00F27D99" w:rsidRDefault="003079B2" w:rsidP="00F3088F">
      <w:pPr>
        <w:pStyle w:val="ListParagraph"/>
        <w:numPr>
          <w:ilvl w:val="0"/>
          <w:numId w:val="20"/>
        </w:numPr>
        <w:spacing w:line="360" w:lineRule="auto"/>
        <w:rPr>
          <w:rFonts w:eastAsia="Arial Unicode MS"/>
          <w:lang w:val="en-GB"/>
        </w:rPr>
      </w:pPr>
      <w:r w:rsidRPr="00F27D99">
        <w:rPr>
          <w:rFonts w:eastAsia="Arial Unicode MS"/>
          <w:lang w:val="en-GB"/>
        </w:rPr>
        <w:t>Overriding public interest in obtaining the best possible outcome in transparency register reform</w:t>
      </w:r>
    </w:p>
    <w:p w14:paraId="5E665352"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The current register system contains various loopholes and deficiencies in serving the purpose for which it was created: to know what interests are being represented at EU level, who represents those interests, and with what budgets.</w:t>
      </w:r>
    </w:p>
    <w:p w14:paraId="16974815"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In 2015, Transparency International filed 4,253 official complaints on inaccurate or implausible entries (around half of the total number of entries at the time),</w:t>
      </w:r>
      <w:r w:rsidRPr="00F27D99">
        <w:rPr>
          <w:rStyle w:val="FootnoteReference"/>
          <w:rFonts w:eastAsia="Arial Unicode MS"/>
          <w:lang w:val="en-GB"/>
        </w:rPr>
        <w:footnoteReference w:id="25"/>
      </w:r>
      <w:r w:rsidRPr="00F27D99">
        <w:rPr>
          <w:rFonts w:eastAsia="Arial Unicode MS"/>
          <w:lang w:val="en-GB"/>
        </w:rPr>
        <w:t xml:space="preserve"> and ALTER EU has also published studies on loopholes concerning, for example, a number of law firms who are not registered in spite of the fact that they also carry out lobbying activities.</w:t>
      </w:r>
      <w:r w:rsidRPr="00F27D99">
        <w:rPr>
          <w:rStyle w:val="FootnoteReference"/>
          <w:rFonts w:eastAsia="Arial Unicode MS"/>
          <w:lang w:val="en-GB"/>
        </w:rPr>
        <w:footnoteReference w:id="26"/>
      </w:r>
      <w:r w:rsidRPr="00F27D99">
        <w:rPr>
          <w:rFonts w:eastAsia="Arial Unicode MS"/>
          <w:lang w:val="en-GB"/>
        </w:rPr>
        <w:t xml:space="preserve"> There is also a need to expand the scope of the register regime to include Permanent Representations and the Council in as lobbying also is directed towards them.</w:t>
      </w:r>
      <w:r w:rsidRPr="00F27D99">
        <w:rPr>
          <w:rStyle w:val="FootnoteReference"/>
          <w:rFonts w:eastAsia="Arial Unicode MS"/>
          <w:lang w:val="en-GB"/>
        </w:rPr>
        <w:footnoteReference w:id="27"/>
      </w:r>
      <w:r w:rsidRPr="00F27D99">
        <w:rPr>
          <w:rFonts w:eastAsia="Arial Unicode MS"/>
          <w:lang w:val="en-GB"/>
        </w:rPr>
        <w:t xml:space="preserve"> </w:t>
      </w:r>
    </w:p>
    <w:p w14:paraId="44B5188F"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The Commission’s recent public consultation on the register sought input on “</w:t>
      </w:r>
      <w:r w:rsidRPr="00F27D99">
        <w:rPr>
          <w:rFonts w:eastAsia="Arial Unicode MS"/>
          <w:i/>
          <w:lang w:val="en-GB"/>
        </w:rPr>
        <w:t xml:space="preserve">what can be improved and how, in order to ensure that the Register fulfils its full </w:t>
      </w:r>
      <w:r w:rsidRPr="00F27D99">
        <w:rPr>
          <w:rFonts w:eastAsia="Arial Unicode MS"/>
          <w:i/>
          <w:lang w:val="en-GB"/>
        </w:rPr>
        <w:lastRenderedPageBreak/>
        <w:t>potential</w:t>
      </w:r>
      <w:r w:rsidRPr="00F27D99">
        <w:rPr>
          <w:rFonts w:eastAsia="Arial Unicode MS"/>
          <w:lang w:val="en-GB"/>
        </w:rPr>
        <w:t>.”</w:t>
      </w:r>
      <w:r w:rsidRPr="00F27D99">
        <w:rPr>
          <w:rStyle w:val="FootnoteReference"/>
          <w:rFonts w:eastAsia="Arial Unicode MS"/>
          <w:lang w:val="en-GB"/>
        </w:rPr>
        <w:footnoteReference w:id="28"/>
      </w:r>
      <w:r w:rsidRPr="00F27D99">
        <w:rPr>
          <w:rFonts w:eastAsia="Arial Unicode MS"/>
          <w:lang w:val="en-GB"/>
        </w:rPr>
        <w:t xml:space="preserve"> </w:t>
      </w:r>
      <w:r w:rsidR="003551D4" w:rsidRPr="00F27D99">
        <w:rPr>
          <w:rFonts w:eastAsia="Arial Unicode MS"/>
          <w:lang w:val="en-GB"/>
        </w:rPr>
        <w:t xml:space="preserve">The Commission in its Decision argues that it is not clear how releasing the requested documents would add to transparency. </w:t>
      </w:r>
      <w:r w:rsidR="004E6F5A" w:rsidRPr="00F27D99">
        <w:rPr>
          <w:rFonts w:eastAsia="Arial Unicode MS"/>
          <w:lang w:val="en-GB"/>
        </w:rPr>
        <w:t>The answer is that i</w:t>
      </w:r>
      <w:r w:rsidR="002D5177" w:rsidRPr="00F27D99">
        <w:rPr>
          <w:rFonts w:eastAsia="Arial Unicode MS"/>
          <w:lang w:val="en-GB"/>
        </w:rPr>
        <w:t>t is</w:t>
      </w:r>
      <w:r w:rsidRPr="00F27D99">
        <w:rPr>
          <w:rFonts w:eastAsia="Arial Unicode MS"/>
          <w:lang w:val="en-GB"/>
        </w:rPr>
        <w:t xml:space="preserve"> in order to understand the Commission’s pursuit of an Inter-Institutional Agreement despite criticism that such a path will not lead to a closing of many of the loopholes and deficiencies in the current system. Such access is also in the public interest given the European Parliament’s preference for a legally-binding mechanism. There is an overriding public interest in knowing, for example, if the Commission may have suppressed one option in favour of another which would produce a weaker outcome.  </w:t>
      </w:r>
    </w:p>
    <w:p w14:paraId="727BF200"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 xml:space="preserve">It is essential that the public be able to access the policy options in order to ensure that the path taken by the Commission to address the reform of the transparency register is indeed, optimal. </w:t>
      </w:r>
    </w:p>
    <w:p w14:paraId="17FFD1DA" w14:textId="77777777" w:rsidR="003079B2" w:rsidRPr="00F27D99" w:rsidRDefault="003079B2" w:rsidP="00F3088F">
      <w:pPr>
        <w:pStyle w:val="ListParagraph"/>
        <w:numPr>
          <w:ilvl w:val="0"/>
          <w:numId w:val="20"/>
        </w:numPr>
        <w:spacing w:line="360" w:lineRule="auto"/>
        <w:rPr>
          <w:rFonts w:eastAsia="Arial Unicode MS"/>
          <w:lang w:val="en-GB"/>
        </w:rPr>
      </w:pPr>
      <w:r w:rsidRPr="00F27D99">
        <w:rPr>
          <w:rFonts w:eastAsia="Arial Unicode MS"/>
          <w:lang w:val="en-GB"/>
        </w:rPr>
        <w:t>Overriding public interest in ensuring accountability of EU institutions and citizen participation</w:t>
      </w:r>
    </w:p>
    <w:p w14:paraId="4C2268BE"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According to Article 15(1) TFEU, “</w:t>
      </w:r>
      <w:r w:rsidRPr="00F27D99">
        <w:rPr>
          <w:rFonts w:eastAsia="Arial Unicode MS"/>
          <w:i/>
          <w:lang w:val="en-GB"/>
        </w:rPr>
        <w:t>In order to promote good governance and ensure the participation of civil society, the Union's institutions, bodies, offices and agencies shall conduct their work as openly as possible</w:t>
      </w:r>
      <w:r w:rsidRPr="00F27D99">
        <w:rPr>
          <w:rFonts w:eastAsia="Arial Unicode MS"/>
          <w:lang w:val="en-GB"/>
        </w:rPr>
        <w:t>.”</w:t>
      </w:r>
      <w:r w:rsidRPr="00F27D99">
        <w:rPr>
          <w:rStyle w:val="FootnoteReference"/>
          <w:rFonts w:eastAsia="Arial Unicode MS"/>
          <w:lang w:val="en-GB"/>
        </w:rPr>
        <w:footnoteReference w:id="29"/>
      </w:r>
      <w:r w:rsidRPr="00F27D99">
        <w:rPr>
          <w:rFonts w:eastAsia="Arial Unicode MS"/>
          <w:lang w:val="en-GB"/>
        </w:rPr>
        <w:t xml:space="preserve"> </w:t>
      </w:r>
    </w:p>
    <w:p w14:paraId="5F1924FA"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Further, according to recital 2 of Regulation 1049/2001: “</w:t>
      </w:r>
      <w:r w:rsidRPr="00F27D99">
        <w:rPr>
          <w:rFonts w:eastAsia="Arial Unicode MS"/>
          <w:i/>
          <w:lang w:val="en-GB"/>
        </w:rPr>
        <w:t>Openness enables citizens to participate more closely in the decision-making process and guarantees that the administration enjoys greater legitimacy and is more effective and more accountable to the citizen in a democratic system. Openness contributes to strengthening the principles of democracy and respect for fundamental rights as laid down in Article 6 of the EU Treaty and in the Charter of Fundamental Rights of the European Union</w:t>
      </w:r>
      <w:r w:rsidRPr="00F27D99">
        <w:rPr>
          <w:rFonts w:eastAsia="Arial Unicode MS"/>
          <w:lang w:val="en-GB"/>
        </w:rPr>
        <w:t>.”</w:t>
      </w:r>
    </w:p>
    <w:p w14:paraId="62AC707F"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lastRenderedPageBreak/>
        <w:t>Indeed, the Transparency Register website states that "</w:t>
      </w:r>
      <w:r w:rsidRPr="00F27D99">
        <w:rPr>
          <w:rFonts w:eastAsia="Arial Unicode MS"/>
          <w:i/>
          <w:lang w:val="en-GB"/>
        </w:rPr>
        <w:t>The decision-making process must be transparent to allow for proper scrutiny and to ensure that the Union’s institutions are accountable</w:t>
      </w:r>
      <w:r w:rsidRPr="00F27D99">
        <w:rPr>
          <w:rFonts w:eastAsia="Arial Unicode MS"/>
          <w:lang w:val="en-GB"/>
        </w:rPr>
        <w:t>."</w:t>
      </w:r>
      <w:r w:rsidRPr="00F27D99">
        <w:rPr>
          <w:rStyle w:val="FootnoteReference"/>
          <w:rFonts w:eastAsia="Arial Unicode MS"/>
          <w:lang w:val="en-GB"/>
        </w:rPr>
        <w:footnoteReference w:id="30"/>
      </w:r>
    </w:p>
    <w:p w14:paraId="0C64A4A3"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The overriding public interest in full publication of the documents requested derives from the public’s right to good governance and to hold public bodies accountable, as guaranteed by the EU Treaties. Without access to the documents requested, it is impossible for the public to hold the Commission accountable for pursuing the Inter-Institutional Agreement outlined in its roadmap as opposed to a legislative proposal.</w:t>
      </w:r>
      <w:r w:rsidRPr="00F27D99">
        <w:rPr>
          <w:rStyle w:val="FootnoteReference"/>
          <w:rFonts w:eastAsia="Arial Unicode MS"/>
          <w:lang w:val="en-GB"/>
        </w:rPr>
        <w:footnoteReference w:id="31"/>
      </w:r>
    </w:p>
    <w:p w14:paraId="0C0CB54B" w14:textId="77777777" w:rsidR="003079B2" w:rsidRPr="00F27D99" w:rsidRDefault="003079B2" w:rsidP="002D5177">
      <w:pPr>
        <w:pStyle w:val="ListParagraph"/>
        <w:numPr>
          <w:ilvl w:val="0"/>
          <w:numId w:val="16"/>
        </w:numPr>
        <w:spacing w:line="360" w:lineRule="auto"/>
        <w:rPr>
          <w:rFonts w:eastAsia="Arial Unicode MS"/>
          <w:lang w:val="en-GB"/>
        </w:rPr>
      </w:pPr>
      <w:r w:rsidRPr="00F27D99">
        <w:rPr>
          <w:rFonts w:eastAsia="Arial Unicode MS"/>
          <w:lang w:val="en-GB"/>
        </w:rPr>
        <w:t>The overriding public interest in full access to the requested documents is also supported by the public’s right to participate in the decision-making process, as guaranteed by the EU treaties. Without full access to the documents, the public is unable to make an informed opinion on the path taken by the Commission to reform the transparency register and is hence prevented from exercising its fundamental right to freedom of expression.</w:t>
      </w:r>
      <w:r w:rsidRPr="00F27D99">
        <w:rPr>
          <w:rStyle w:val="FootnoteReference"/>
          <w:rFonts w:eastAsia="Arial Unicode MS"/>
          <w:lang w:val="en-GB"/>
        </w:rPr>
        <w:footnoteReference w:id="32"/>
      </w:r>
      <w:r w:rsidRPr="00F27D99">
        <w:rPr>
          <w:rFonts w:eastAsia="Arial Unicode MS"/>
          <w:lang w:val="en-GB"/>
        </w:rPr>
        <w:t xml:space="preserve"> Hence, if the public is unable to make an informed opinion due to the lack of necessary information, it is unable to exercise its right to participate effectively in the decision making process (informally or formally such as through public consultations). </w:t>
      </w:r>
    </w:p>
    <w:p w14:paraId="5E93BAF0" w14:textId="77777777" w:rsidR="004301B4" w:rsidRPr="00F27D99" w:rsidRDefault="004301B4" w:rsidP="004301B4">
      <w:pPr>
        <w:pStyle w:val="ListParagraph"/>
        <w:numPr>
          <w:ilvl w:val="0"/>
          <w:numId w:val="18"/>
        </w:numPr>
        <w:spacing w:line="360" w:lineRule="auto"/>
        <w:rPr>
          <w:rFonts w:eastAsia="Arial Unicode MS"/>
          <w:b/>
          <w:lang w:val="en-GB"/>
        </w:rPr>
      </w:pPr>
      <w:r w:rsidRPr="00F27D99">
        <w:rPr>
          <w:rFonts w:eastAsia="Arial Unicode MS"/>
          <w:b/>
          <w:lang w:val="en-GB"/>
        </w:rPr>
        <w:t>CONCLUSION</w:t>
      </w:r>
    </w:p>
    <w:p w14:paraId="647767F8" w14:textId="77777777" w:rsidR="004301B4" w:rsidRPr="00F27D99" w:rsidRDefault="004301B4" w:rsidP="004301B4">
      <w:pPr>
        <w:pStyle w:val="ListParagraph"/>
        <w:numPr>
          <w:ilvl w:val="0"/>
          <w:numId w:val="16"/>
        </w:numPr>
        <w:spacing w:line="360" w:lineRule="auto"/>
        <w:rPr>
          <w:rFonts w:eastAsia="Arial Unicode MS"/>
          <w:lang w:val="en-GB"/>
        </w:rPr>
      </w:pPr>
      <w:r w:rsidRPr="00F27D99">
        <w:rPr>
          <w:rFonts w:eastAsia="Arial Unicode MS"/>
          <w:lang w:val="en-GB"/>
        </w:rPr>
        <w:lastRenderedPageBreak/>
        <w:t xml:space="preserve">In </w:t>
      </w:r>
      <w:r w:rsidR="002B07DE" w:rsidRPr="00F27D99">
        <w:rPr>
          <w:rFonts w:eastAsia="Arial Unicode MS"/>
          <w:lang w:val="en-GB"/>
        </w:rPr>
        <w:t>light of the above</w:t>
      </w:r>
      <w:r w:rsidRPr="00F27D99">
        <w:rPr>
          <w:rFonts w:eastAsia="Arial Unicode MS"/>
          <w:lang w:val="en-GB"/>
        </w:rPr>
        <w:t xml:space="preserve">, </w:t>
      </w:r>
      <w:r w:rsidR="002B07DE" w:rsidRPr="00F27D99">
        <w:rPr>
          <w:rFonts w:eastAsia="Arial Unicode MS"/>
          <w:lang w:val="en-GB"/>
        </w:rPr>
        <w:t>I call on the Ombudsman to request the</w:t>
      </w:r>
      <w:r w:rsidRPr="00F27D99">
        <w:rPr>
          <w:rFonts w:eastAsia="Arial Unicode MS"/>
          <w:lang w:val="en-GB"/>
        </w:rPr>
        <w:t xml:space="preserve"> Commission </w:t>
      </w:r>
      <w:r w:rsidR="002B07DE" w:rsidRPr="00F27D99">
        <w:rPr>
          <w:rFonts w:eastAsia="Arial Unicode MS"/>
          <w:lang w:val="en-GB"/>
        </w:rPr>
        <w:t>to</w:t>
      </w:r>
      <w:r w:rsidRPr="00F27D99">
        <w:rPr>
          <w:rFonts w:eastAsia="Arial Unicode MS"/>
          <w:lang w:val="en-GB"/>
        </w:rPr>
        <w:t xml:space="preserve"> publish the three documents identified, in full.</w:t>
      </w:r>
    </w:p>
    <w:p w14:paraId="53DC8CAE" w14:textId="77777777" w:rsidR="00BF6333" w:rsidRPr="00F27D99" w:rsidRDefault="00BF6333" w:rsidP="00BF6333">
      <w:pPr>
        <w:rPr>
          <w:rFonts w:eastAsia="Arial Unicode MS"/>
          <w:lang w:val="en-GB"/>
        </w:rPr>
      </w:pPr>
    </w:p>
    <w:sectPr w:rsidR="00BF6333" w:rsidRPr="00F27D99" w:rsidSect="001E1673">
      <w:headerReference w:type="even" r:id="rId8"/>
      <w:headerReference w:type="default" r:id="rId9"/>
      <w:footerReference w:type="even" r:id="rId10"/>
      <w:footerReference w:type="default" r:id="rId11"/>
      <w:headerReference w:type="first" r:id="rId12"/>
      <w:footerReference w:type="first" r:id="rId13"/>
      <w:pgSz w:w="11906" w:h="16838" w:code="9"/>
      <w:pgMar w:top="2552" w:right="1701" w:bottom="1701" w:left="1701"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EE33" w14:textId="77777777" w:rsidR="00C53226" w:rsidRDefault="00C53226">
      <w:r>
        <w:separator/>
      </w:r>
    </w:p>
  </w:endnote>
  <w:endnote w:type="continuationSeparator" w:id="0">
    <w:p w14:paraId="5A9B1D0F" w14:textId="77777777" w:rsidR="00C53226" w:rsidRDefault="00C5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9E8" w14:textId="77777777" w:rsidR="00D7672A" w:rsidRDefault="00D7672A">
    <w:pPr>
      <w:framePr w:wrap="around" w:vAnchor="text" w:hAnchor="margin" w:xAlign="right" w:y="1"/>
    </w:pPr>
    <w:r>
      <w:fldChar w:fldCharType="begin"/>
    </w:r>
    <w:r>
      <w:instrText xml:space="preserve">PAGE  </w:instrText>
    </w:r>
    <w:r>
      <w:fldChar w:fldCharType="separate"/>
    </w:r>
    <w:r>
      <w:rPr>
        <w:noProof/>
      </w:rPr>
      <w:t>1</w:t>
    </w:r>
    <w:r>
      <w:fldChar w:fldCharType="end"/>
    </w:r>
  </w:p>
  <w:p w14:paraId="3F5AD55F" w14:textId="77777777" w:rsidR="00D7672A" w:rsidRDefault="00D767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DC51" w14:textId="5E28D55E" w:rsidR="00D7672A" w:rsidRPr="00EA45CC" w:rsidRDefault="00D7672A" w:rsidP="00EA45CC">
    <w:pPr>
      <w:pStyle w:val="Footer"/>
      <w:rPr>
        <w:rStyle w:val="PageNumber"/>
      </w:rPr>
    </w:pPr>
    <w:r w:rsidRPr="000A28D7">
      <w:t xml:space="preserve">- </w:t>
    </w:r>
    <w:r w:rsidRPr="000A28D7">
      <w:fldChar w:fldCharType="begin"/>
    </w:r>
    <w:r w:rsidRPr="000A28D7">
      <w:instrText xml:space="preserve"> PAGE </w:instrText>
    </w:r>
    <w:r w:rsidRPr="000A28D7">
      <w:fldChar w:fldCharType="separate"/>
    </w:r>
    <w:r w:rsidR="00FD7ADA">
      <w:rPr>
        <w:noProof/>
      </w:rPr>
      <w:t>4</w:t>
    </w:r>
    <w:r w:rsidRPr="000A28D7">
      <w:fldChar w:fldCharType="end"/>
    </w:r>
    <w:r w:rsidRPr="000A28D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159E" w14:textId="77777777" w:rsidR="00D7672A" w:rsidRDefault="00D7672A"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0B87" w14:textId="77777777" w:rsidR="00C53226" w:rsidRPr="000A28D7" w:rsidRDefault="00C53226" w:rsidP="00374CB6">
      <w:pPr>
        <w:spacing w:after="120"/>
        <w:rPr>
          <w:sz w:val="20"/>
        </w:rPr>
      </w:pPr>
      <w:r w:rsidRPr="000A28D7">
        <w:rPr>
          <w:sz w:val="20"/>
        </w:rPr>
        <w:separator/>
      </w:r>
    </w:p>
  </w:footnote>
  <w:footnote w:type="continuationSeparator" w:id="0">
    <w:p w14:paraId="71B3C028" w14:textId="77777777" w:rsidR="00C53226" w:rsidRPr="00374CB6" w:rsidRDefault="00C53226" w:rsidP="00374CB6">
      <w:pPr>
        <w:spacing w:after="120"/>
        <w:rPr>
          <w:sz w:val="20"/>
        </w:rPr>
      </w:pPr>
      <w:r w:rsidRPr="00374CB6">
        <w:rPr>
          <w:sz w:val="20"/>
        </w:rPr>
        <w:continuationSeparator/>
      </w:r>
    </w:p>
  </w:footnote>
  <w:footnote w:id="1">
    <w:p w14:paraId="0669680A" w14:textId="77777777" w:rsidR="00D7672A" w:rsidRPr="00496A93" w:rsidRDefault="00D7672A" w:rsidP="00496A93">
      <w:pPr>
        <w:pStyle w:val="FootnoteText"/>
        <w:jc w:val="left"/>
        <w:rPr>
          <w:lang w:val="en-US"/>
        </w:rPr>
      </w:pPr>
      <w:r>
        <w:rPr>
          <w:rStyle w:val="FootnoteReference"/>
        </w:rPr>
        <w:footnoteRef/>
      </w:r>
      <w:r w:rsidRPr="00496A93">
        <w:rPr>
          <w:lang w:val="en-US"/>
        </w:rPr>
        <w:t xml:space="preserve"> The request and the full history can be found here: </w:t>
      </w:r>
      <w:r w:rsidR="00C53226">
        <w:fldChar w:fldCharType="begin"/>
      </w:r>
      <w:r w:rsidR="00C53226" w:rsidRPr="00181DC7">
        <w:rPr>
          <w:lang w:val="en-GB"/>
        </w:rPr>
        <w:instrText xml:space="preserve"> HYPERLINK "https://www.asktheeu.org/en/request/legal_advice_on_lobby_register" </w:instrText>
      </w:r>
      <w:r w:rsidR="00C53226">
        <w:fldChar w:fldCharType="separate"/>
      </w:r>
      <w:r w:rsidRPr="004B2463">
        <w:rPr>
          <w:rStyle w:val="Hyperlink"/>
          <w:lang w:val="en-US"/>
        </w:rPr>
        <w:t>https://www.asktheeu.org/en/request/legal_advice_on_lobby_register</w:t>
      </w:r>
      <w:r w:rsidR="00C53226">
        <w:rPr>
          <w:rStyle w:val="Hyperlink"/>
          <w:lang w:val="en-US"/>
        </w:rPr>
        <w:fldChar w:fldCharType="end"/>
      </w:r>
      <w:r>
        <w:rPr>
          <w:lang w:val="en-US"/>
        </w:rPr>
        <w:t xml:space="preserve"> </w:t>
      </w:r>
    </w:p>
  </w:footnote>
  <w:footnote w:id="2">
    <w:p w14:paraId="14C905E7" w14:textId="77777777" w:rsidR="00D7672A" w:rsidRPr="00496A93" w:rsidRDefault="00D7672A" w:rsidP="00496A93">
      <w:pPr>
        <w:pStyle w:val="FootnoteText"/>
        <w:jc w:val="left"/>
        <w:rPr>
          <w:lang w:val="en-US"/>
        </w:rPr>
      </w:pPr>
      <w:r>
        <w:rPr>
          <w:rStyle w:val="FootnoteReference"/>
        </w:rPr>
        <w:footnoteRef/>
      </w:r>
      <w:r w:rsidRPr="00496A93">
        <w:rPr>
          <w:lang w:val="en-US"/>
        </w:rPr>
        <w:t xml:space="preserve"> </w:t>
      </w:r>
      <w:r>
        <w:rPr>
          <w:lang w:val="en-US"/>
        </w:rPr>
        <w:t>The rest of the Commission’s d</w:t>
      </w:r>
      <w:r w:rsidRPr="00496A93">
        <w:rPr>
          <w:lang w:val="en-US"/>
        </w:rPr>
        <w:t xml:space="preserve">ecision can be </w:t>
      </w:r>
      <w:r>
        <w:rPr>
          <w:lang w:val="en-US"/>
        </w:rPr>
        <w:t>seen</w:t>
      </w:r>
      <w:r w:rsidRPr="00496A93">
        <w:rPr>
          <w:lang w:val="en-US"/>
        </w:rPr>
        <w:t xml:space="preserve"> here:</w:t>
      </w:r>
      <w:r>
        <w:rPr>
          <w:lang w:val="en-US"/>
        </w:rPr>
        <w:t xml:space="preserve"> </w:t>
      </w:r>
      <w:r w:rsidR="00C53226">
        <w:fldChar w:fldCharType="begin"/>
      </w:r>
      <w:r w:rsidR="00C53226" w:rsidRPr="00181DC7">
        <w:rPr>
          <w:lang w:val="en-GB"/>
        </w:rPr>
        <w:instrText xml:space="preserve"> HYPERLINK "https://www.asktheeu.org/en/request/2959/response/10673/attach/4/Ares%202016%203928003.pdf" </w:instrText>
      </w:r>
      <w:r w:rsidR="00C53226">
        <w:fldChar w:fldCharType="separate"/>
      </w:r>
      <w:r w:rsidRPr="004B2463">
        <w:rPr>
          <w:rStyle w:val="Hyperlink"/>
          <w:lang w:val="en-US"/>
        </w:rPr>
        <w:t>https://www.asktheeu.org/en/request/2959/response/10673/attach/4/Ares%202016%203928003.pdf</w:t>
      </w:r>
      <w:r w:rsidR="00C53226">
        <w:rPr>
          <w:rStyle w:val="Hyperlink"/>
          <w:lang w:val="en-US"/>
        </w:rPr>
        <w:fldChar w:fldCharType="end"/>
      </w:r>
      <w:r>
        <w:rPr>
          <w:lang w:val="en-US"/>
        </w:rPr>
        <w:t xml:space="preserve"> </w:t>
      </w:r>
    </w:p>
  </w:footnote>
  <w:footnote w:id="3">
    <w:p w14:paraId="7EF42038" w14:textId="77777777" w:rsidR="00D7672A" w:rsidRDefault="00D7672A" w:rsidP="00496A93">
      <w:pPr>
        <w:pStyle w:val="FootnoteText"/>
        <w:rPr>
          <w:lang w:val="en-US"/>
        </w:rPr>
      </w:pPr>
      <w:r>
        <w:rPr>
          <w:rStyle w:val="FootnoteReference"/>
        </w:rPr>
        <w:footnoteRef/>
      </w:r>
      <w:r w:rsidRPr="00496A93">
        <w:rPr>
          <w:lang w:val="en-US"/>
        </w:rPr>
        <w:t xml:space="preserve"> These arguments can be read here:</w:t>
      </w:r>
    </w:p>
    <w:p w14:paraId="7684F21C" w14:textId="77777777" w:rsidR="00D7672A" w:rsidRPr="00496A93" w:rsidRDefault="00C53226" w:rsidP="00496A93">
      <w:pPr>
        <w:pStyle w:val="FootnoteText"/>
        <w:rPr>
          <w:lang w:val="en-US"/>
        </w:rPr>
      </w:pPr>
      <w:r>
        <w:fldChar w:fldCharType="begin"/>
      </w:r>
      <w:r w:rsidRPr="00181DC7">
        <w:rPr>
          <w:lang w:val="en-US"/>
        </w:rPr>
        <w:instrText xml:space="preserve"> HYPERLINK "h</w:instrText>
      </w:r>
      <w:r w:rsidRPr="00181DC7">
        <w:rPr>
          <w:lang w:val="en-US"/>
        </w:rPr>
        <w:instrText xml:space="preserve">ttps://www.asktheeu.org/en/request/legal_advice_on_lobby_register" \l "outgoing-6690" </w:instrText>
      </w:r>
      <w:r>
        <w:fldChar w:fldCharType="separate"/>
      </w:r>
      <w:r w:rsidR="00D7672A" w:rsidRPr="00496A93">
        <w:rPr>
          <w:rStyle w:val="Hyperlink"/>
          <w:lang w:val="en-US"/>
        </w:rPr>
        <w:t>https://www.asktheeu.org/en/request/legal_advice_on_lobby_register#outgoing-6690</w:t>
      </w:r>
      <w:r>
        <w:rPr>
          <w:rStyle w:val="Hyperlink"/>
          <w:lang w:val="en-US"/>
        </w:rPr>
        <w:fldChar w:fldCharType="end"/>
      </w:r>
      <w:r w:rsidR="00D7672A" w:rsidRPr="00496A93">
        <w:rPr>
          <w:lang w:val="en-US"/>
        </w:rPr>
        <w:t xml:space="preserve"> </w:t>
      </w:r>
    </w:p>
  </w:footnote>
  <w:footnote w:id="4">
    <w:p w14:paraId="6549206B" w14:textId="77777777" w:rsidR="00D7672A" w:rsidRPr="00496A93" w:rsidRDefault="00D7672A">
      <w:pPr>
        <w:pStyle w:val="FootnoteText"/>
        <w:rPr>
          <w:lang w:val="en-US"/>
        </w:rPr>
      </w:pPr>
      <w:r>
        <w:rPr>
          <w:rStyle w:val="FootnoteReference"/>
        </w:rPr>
        <w:footnoteRef/>
      </w:r>
      <w:r w:rsidRPr="00496A93">
        <w:rPr>
          <w:lang w:val="en-US"/>
        </w:rPr>
        <w:t xml:space="preserve"> The response to the confirmatory application can be found here: </w:t>
      </w:r>
      <w:r w:rsidR="00C53226">
        <w:fldChar w:fldCharType="begin"/>
      </w:r>
      <w:r w:rsidR="00C53226" w:rsidRPr="00181DC7">
        <w:rPr>
          <w:lang w:val="en-GB"/>
        </w:rPr>
        <w:instrText xml:space="preserve"> HYPERLINK "https:/</w:instrText>
      </w:r>
      <w:r w:rsidR="00C53226" w:rsidRPr="00181DC7">
        <w:rPr>
          <w:lang w:val="en-GB"/>
        </w:rPr>
        <w:instrText xml:space="preserve">/www.asktheeu.org/en/request/2959/response/11356/attach/4/2016%202791%20C%202016%206494%20F1%20DECISION%20LETTER%20EN%20V2%20P1%20863832.pdf" </w:instrText>
      </w:r>
      <w:r w:rsidR="00C53226">
        <w:fldChar w:fldCharType="separate"/>
      </w:r>
      <w:r w:rsidRPr="004B2463">
        <w:rPr>
          <w:rStyle w:val="Hyperlink"/>
          <w:lang w:val="en-US"/>
        </w:rPr>
        <w:t>https://www.asktheeu.org/en/request/2959/response/11356/attach/4/2016%202791%20C%202016%206494%20F1%20DECISION%20LETTER%20EN%20V2%20P1%20863832.pdf</w:t>
      </w:r>
      <w:r w:rsidR="00C53226">
        <w:rPr>
          <w:rStyle w:val="Hyperlink"/>
          <w:lang w:val="en-US"/>
        </w:rPr>
        <w:fldChar w:fldCharType="end"/>
      </w:r>
      <w:r>
        <w:rPr>
          <w:lang w:val="en-US"/>
        </w:rPr>
        <w:t xml:space="preserve"> </w:t>
      </w:r>
    </w:p>
  </w:footnote>
  <w:footnote w:id="5">
    <w:p w14:paraId="416D99A3" w14:textId="77777777" w:rsidR="008841E4" w:rsidRPr="008841E4" w:rsidRDefault="008841E4">
      <w:pPr>
        <w:pStyle w:val="FootnoteText"/>
        <w:rPr>
          <w:lang w:val="en-US"/>
        </w:rPr>
      </w:pPr>
      <w:r>
        <w:rPr>
          <w:rStyle w:val="FootnoteReference"/>
        </w:rPr>
        <w:footnoteRef/>
      </w:r>
      <w:r w:rsidRPr="008841E4">
        <w:rPr>
          <w:lang w:val="en-US"/>
        </w:rPr>
        <w:t xml:space="preserve"> It is also difficult to ignore the irony of the Commission refusing to be transparent concerning the formulation of the Transparency Register.</w:t>
      </w:r>
    </w:p>
  </w:footnote>
  <w:footnote w:id="6">
    <w:p w14:paraId="24ABEA38"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iCs/>
          <w:lang w:val="fr-FR"/>
        </w:rPr>
        <w:t>Sweden</w:t>
      </w:r>
      <w:r w:rsidRPr="00181DC7">
        <w:rPr>
          <w:lang w:val="fr-FR"/>
        </w:rPr>
        <w:t xml:space="preserve"> v </w:t>
      </w:r>
      <w:r w:rsidRPr="00181DC7">
        <w:rPr>
          <w:i/>
          <w:iCs/>
          <w:lang w:val="fr-FR"/>
        </w:rPr>
        <w:t>Commission</w:t>
      </w:r>
      <w:r w:rsidRPr="00181DC7">
        <w:rPr>
          <w:lang w:val="fr-FR"/>
        </w:rPr>
        <w:t>, EU:C:2007:802, paragraph 53.</w:t>
      </w:r>
    </w:p>
  </w:footnote>
  <w:footnote w:id="7">
    <w:p w14:paraId="72451E50" w14:textId="77777777" w:rsidR="00D7672A" w:rsidRPr="003079B2" w:rsidRDefault="00D7672A">
      <w:pPr>
        <w:pStyle w:val="FootnoteText"/>
        <w:rPr>
          <w:lang w:val="en-US"/>
        </w:rPr>
      </w:pPr>
      <w:r>
        <w:rPr>
          <w:rStyle w:val="FootnoteReference"/>
        </w:rPr>
        <w:footnoteRef/>
      </w:r>
      <w:r w:rsidRPr="003079B2">
        <w:rPr>
          <w:lang w:val="en-US"/>
        </w:rPr>
        <w:t xml:space="preserve"> </w:t>
      </w:r>
      <w:r w:rsidRPr="00BF6333">
        <w:rPr>
          <w:i/>
          <w:iCs/>
          <w:lang w:val="en-US"/>
        </w:rPr>
        <w:t>Sweden and Others</w:t>
      </w:r>
      <w:r w:rsidRPr="00BF6333">
        <w:rPr>
          <w:lang w:val="en-US"/>
        </w:rPr>
        <w:t xml:space="preserve"> v </w:t>
      </w:r>
      <w:r w:rsidRPr="00BF6333">
        <w:rPr>
          <w:i/>
          <w:iCs/>
          <w:lang w:val="en-US"/>
        </w:rPr>
        <w:t>API and Commission</w:t>
      </w:r>
      <w:r w:rsidRPr="00BF6333">
        <w:rPr>
          <w:lang w:val="en-US"/>
        </w:rPr>
        <w:t>, EU:C:</w:t>
      </w:r>
      <w:r>
        <w:rPr>
          <w:lang w:val="en-US"/>
        </w:rPr>
        <w:t>2010:541, paragraphs 70 and 71</w:t>
      </w:r>
    </w:p>
  </w:footnote>
  <w:footnote w:id="8">
    <w:p w14:paraId="60A8D733"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iCs/>
          <w:lang w:val="fr-FR"/>
        </w:rPr>
        <w:t>Council</w:t>
      </w:r>
      <w:r w:rsidRPr="00181DC7">
        <w:rPr>
          <w:lang w:val="fr-FR"/>
        </w:rPr>
        <w:t xml:space="preserve"> v </w:t>
      </w:r>
      <w:r w:rsidRPr="00181DC7">
        <w:rPr>
          <w:i/>
          <w:iCs/>
          <w:lang w:val="fr-FR"/>
        </w:rPr>
        <w:t>Access Info Europe</w:t>
      </w:r>
      <w:r w:rsidRPr="00181DC7">
        <w:rPr>
          <w:lang w:val="fr-FR"/>
        </w:rPr>
        <w:t>, EU:C:2013:671, paragraph 30</w:t>
      </w:r>
    </w:p>
  </w:footnote>
  <w:footnote w:id="9">
    <w:p w14:paraId="4854AE59"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iCs/>
          <w:lang w:val="fr-FR"/>
        </w:rPr>
        <w:t>Sweden</w:t>
      </w:r>
      <w:r w:rsidRPr="00181DC7">
        <w:rPr>
          <w:lang w:val="fr-FR"/>
        </w:rPr>
        <w:t xml:space="preserve"> v </w:t>
      </w:r>
      <w:r w:rsidRPr="00181DC7">
        <w:rPr>
          <w:i/>
          <w:iCs/>
          <w:lang w:val="fr-FR"/>
        </w:rPr>
        <w:t>MyTravel and Commission</w:t>
      </w:r>
      <w:r w:rsidRPr="00181DC7">
        <w:rPr>
          <w:lang w:val="fr-FR"/>
        </w:rPr>
        <w:t>, EU:C:2011:496, paragraph 76</w:t>
      </w:r>
    </w:p>
  </w:footnote>
  <w:footnote w:id="10">
    <w:p w14:paraId="73B1589B"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iCs/>
          <w:lang w:val="fr-FR"/>
        </w:rPr>
        <w:t>Verein für Konsumenteninformation</w:t>
      </w:r>
      <w:r w:rsidRPr="00181DC7">
        <w:rPr>
          <w:lang w:val="fr-FR"/>
        </w:rPr>
        <w:t xml:space="preserve"> v </w:t>
      </w:r>
      <w:r w:rsidRPr="00181DC7">
        <w:rPr>
          <w:i/>
          <w:iCs/>
          <w:lang w:val="fr-FR"/>
        </w:rPr>
        <w:t>Commission</w:t>
      </w:r>
      <w:r w:rsidRPr="00181DC7">
        <w:rPr>
          <w:lang w:val="fr-FR"/>
        </w:rPr>
        <w:t>, EU:T:2005:125, paragraph 69</w:t>
      </w:r>
    </w:p>
  </w:footnote>
  <w:footnote w:id="11">
    <w:p w14:paraId="75A12F10"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lang w:val="fr-FR"/>
        </w:rPr>
        <w:t>Sweden and Turco v Council</w:t>
      </w:r>
      <w:r w:rsidRPr="00181DC7">
        <w:rPr>
          <w:lang w:val="fr-FR"/>
        </w:rPr>
        <w:t>, EU:C:2008:374, paragraphs 37-44.</w:t>
      </w:r>
    </w:p>
  </w:footnote>
  <w:footnote w:id="12">
    <w:p w14:paraId="43976349"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lang w:val="fr-FR"/>
        </w:rPr>
        <w:t>Editions Jacob v Commission</w:t>
      </w:r>
      <w:r w:rsidRPr="00181DC7">
        <w:rPr>
          <w:lang w:val="fr-FR"/>
        </w:rPr>
        <w:t>, EU:T:2010:224, paragraph 156</w:t>
      </w:r>
    </w:p>
  </w:footnote>
  <w:footnote w:id="13">
    <w:p w14:paraId="21C8C5B5"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lang w:val="fr-FR"/>
        </w:rPr>
        <w:t>Sweden and Turco v Council</w:t>
      </w:r>
      <w:r w:rsidRPr="00181DC7">
        <w:rPr>
          <w:lang w:val="fr-FR"/>
        </w:rPr>
        <w:t>, EU:C:2008:374, paragraph 69.</w:t>
      </w:r>
    </w:p>
  </w:footnote>
  <w:footnote w:id="14">
    <w:p w14:paraId="2E557098"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lang w:val="fr-FR"/>
        </w:rPr>
        <w:t>Sweden and Turco v Council</w:t>
      </w:r>
      <w:r w:rsidRPr="00181DC7">
        <w:rPr>
          <w:lang w:val="fr-FR"/>
        </w:rPr>
        <w:t>, EU:C:2008:374, paragraph 69.</w:t>
      </w:r>
    </w:p>
  </w:footnote>
  <w:footnote w:id="15">
    <w:p w14:paraId="1ECD47C5"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lang w:val="fr-FR"/>
        </w:rPr>
        <w:t>Sweden v MyTravel and Commission</w:t>
      </w:r>
      <w:r w:rsidRPr="00181DC7">
        <w:rPr>
          <w:lang w:val="fr-FR"/>
        </w:rPr>
        <w:t>, EU:C:2011:496, paragraphs 77-80.</w:t>
      </w:r>
    </w:p>
  </w:footnote>
  <w:footnote w:id="16">
    <w:p w14:paraId="44470E28"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iCs/>
          <w:lang w:val="fr-FR"/>
        </w:rPr>
        <w:t>Council</w:t>
      </w:r>
      <w:r w:rsidRPr="00181DC7">
        <w:rPr>
          <w:lang w:val="fr-FR"/>
        </w:rPr>
        <w:t xml:space="preserve"> v </w:t>
      </w:r>
      <w:r w:rsidRPr="00181DC7">
        <w:rPr>
          <w:i/>
          <w:iCs/>
          <w:lang w:val="fr-FR"/>
        </w:rPr>
        <w:t>Access Info Europe</w:t>
      </w:r>
      <w:r w:rsidRPr="00181DC7">
        <w:rPr>
          <w:lang w:val="fr-FR"/>
        </w:rPr>
        <w:t>, EU:C:2013:671, paragraph 30</w:t>
      </w:r>
    </w:p>
  </w:footnote>
  <w:footnote w:id="17">
    <w:p w14:paraId="74F6FA35"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lang w:val="fr-FR"/>
        </w:rPr>
        <w:t>Toland v Parliament</w:t>
      </w:r>
      <w:r w:rsidRPr="00181DC7">
        <w:rPr>
          <w:lang w:val="fr-FR"/>
        </w:rPr>
        <w:t>, EU:T:2011:252, paragraph 70.</w:t>
      </w:r>
    </w:p>
  </w:footnote>
  <w:footnote w:id="18">
    <w:p w14:paraId="41E9AFC0" w14:textId="77777777" w:rsidR="00D7672A" w:rsidRPr="00181DC7" w:rsidRDefault="00D7672A">
      <w:pPr>
        <w:pStyle w:val="FootnoteText"/>
        <w:rPr>
          <w:lang w:val="fr-FR"/>
        </w:rPr>
      </w:pPr>
      <w:r>
        <w:rPr>
          <w:rStyle w:val="FootnoteReference"/>
        </w:rPr>
        <w:footnoteRef/>
      </w:r>
      <w:r w:rsidRPr="00181DC7">
        <w:rPr>
          <w:lang w:val="fr-FR"/>
        </w:rPr>
        <w:t xml:space="preserve"> </w:t>
      </w:r>
      <w:r w:rsidRPr="00181DC7">
        <w:rPr>
          <w:i/>
          <w:lang w:val="fr-FR"/>
        </w:rPr>
        <w:t>MasterCard and Others v Commission</w:t>
      </w:r>
      <w:r w:rsidRPr="00181DC7">
        <w:rPr>
          <w:lang w:val="fr-FR"/>
        </w:rPr>
        <w:t>, EU:T:2014:759, paragraph 62.</w:t>
      </w:r>
    </w:p>
  </w:footnote>
  <w:footnote w:id="19">
    <w:p w14:paraId="3D083330" w14:textId="77777777" w:rsidR="00D7672A" w:rsidRPr="00181DC7" w:rsidRDefault="00D7672A" w:rsidP="003079B2">
      <w:pPr>
        <w:pStyle w:val="FootnoteText"/>
        <w:jc w:val="left"/>
        <w:rPr>
          <w:lang w:val="fr-FR"/>
        </w:rPr>
      </w:pPr>
      <w:r>
        <w:rPr>
          <w:rStyle w:val="FootnoteReference"/>
        </w:rPr>
        <w:footnoteRef/>
      </w:r>
      <w:r w:rsidRPr="00181DC7">
        <w:rPr>
          <w:lang w:val="fr-FR"/>
        </w:rPr>
        <w:t xml:space="preserve"> </w:t>
      </w:r>
      <w:r w:rsidR="00C53226">
        <w:fldChar w:fldCharType="begin"/>
      </w:r>
      <w:r w:rsidR="00C53226" w:rsidRPr="00181DC7">
        <w:rPr>
          <w:lang w:val="fr-FR"/>
        </w:rPr>
        <w:instrText xml:space="preserve"> HYPERLINK "https://www.access-info.org/wp-content/uploads/Infographics_EU_citizens_Opinion_Poll_ENGLISH_ONLINE.pdf" </w:instrText>
      </w:r>
      <w:r w:rsidR="00C53226">
        <w:fldChar w:fldCharType="separate"/>
      </w:r>
      <w:r w:rsidR="004301B4" w:rsidRPr="00181DC7">
        <w:rPr>
          <w:rStyle w:val="Hyperlink"/>
          <w:lang w:val="fr-FR"/>
        </w:rPr>
        <w:t>https://www.access-info.org/wp-content/uploads/Infographics_EU_citizens_Opinion_Poll_ENGLISH_ONLINE.pdf</w:t>
      </w:r>
      <w:r w:rsidR="00C53226">
        <w:rPr>
          <w:rStyle w:val="Hyperlink"/>
          <w:lang w:val="en-US"/>
        </w:rPr>
        <w:fldChar w:fldCharType="end"/>
      </w:r>
      <w:r w:rsidR="004301B4" w:rsidRPr="00181DC7">
        <w:rPr>
          <w:lang w:val="fr-FR"/>
        </w:rPr>
        <w:t xml:space="preserve"> </w:t>
      </w:r>
    </w:p>
  </w:footnote>
  <w:footnote w:id="20">
    <w:p w14:paraId="7EA09B7D" w14:textId="77777777" w:rsidR="00D7672A" w:rsidRPr="00181DC7" w:rsidRDefault="00D7672A" w:rsidP="003079B2">
      <w:pPr>
        <w:pStyle w:val="FootnoteText"/>
        <w:rPr>
          <w:lang w:val="fr-FR"/>
        </w:rPr>
      </w:pPr>
      <w:r>
        <w:rPr>
          <w:rStyle w:val="FootnoteReference"/>
        </w:rPr>
        <w:footnoteRef/>
      </w:r>
      <w:r w:rsidRPr="00181DC7">
        <w:rPr>
          <w:lang w:val="fr-FR"/>
        </w:rPr>
        <w:t xml:space="preserve"> </w:t>
      </w:r>
      <w:r w:rsidR="00C53226">
        <w:fldChar w:fldCharType="begin"/>
      </w:r>
      <w:r w:rsidR="00C53226" w:rsidRPr="00181DC7">
        <w:rPr>
          <w:lang w:val="fr-FR"/>
        </w:rPr>
        <w:instrText xml:space="preserve"> HYPERLINK "http://www.ombudsman.europa.eu/en/resources/otherdocument.faces/en/67708/html.bookmark" </w:instrText>
      </w:r>
      <w:r w:rsidR="00C53226">
        <w:fldChar w:fldCharType="separate"/>
      </w:r>
      <w:r w:rsidR="004301B4" w:rsidRPr="00181DC7">
        <w:rPr>
          <w:rStyle w:val="Hyperlink"/>
          <w:lang w:val="fr-FR"/>
        </w:rPr>
        <w:t>http://www.ombudsman.europa.eu/en/resources/otherdocument.faces/en/67708/html.bookmark</w:t>
      </w:r>
      <w:r w:rsidR="00C53226">
        <w:rPr>
          <w:rStyle w:val="Hyperlink"/>
          <w:lang w:val="en-US"/>
        </w:rPr>
        <w:fldChar w:fldCharType="end"/>
      </w:r>
      <w:r w:rsidR="004301B4" w:rsidRPr="00181DC7">
        <w:rPr>
          <w:lang w:val="fr-FR"/>
        </w:rPr>
        <w:t xml:space="preserve"> </w:t>
      </w:r>
    </w:p>
  </w:footnote>
  <w:footnote w:id="21">
    <w:p w14:paraId="727A0F8E" w14:textId="77777777" w:rsidR="00D7672A" w:rsidRPr="00181DC7" w:rsidRDefault="00D7672A" w:rsidP="003079B2">
      <w:pPr>
        <w:pStyle w:val="FootnoteText"/>
        <w:rPr>
          <w:lang w:val="fr-FR"/>
        </w:rPr>
      </w:pPr>
      <w:r>
        <w:rPr>
          <w:rStyle w:val="FootnoteReference"/>
        </w:rPr>
        <w:footnoteRef/>
      </w:r>
      <w:r w:rsidRPr="00181DC7">
        <w:rPr>
          <w:lang w:val="fr-FR"/>
        </w:rPr>
        <w:t xml:space="preserve"> </w:t>
      </w:r>
      <w:r w:rsidR="00C53226">
        <w:fldChar w:fldCharType="begin"/>
      </w:r>
      <w:r w:rsidR="00C53226" w:rsidRPr="00181DC7">
        <w:rPr>
          <w:lang w:val="fr-FR"/>
        </w:rPr>
        <w:instrText xml:space="preserve"> HYPERLINK "http://www.foeeurope.org/legal_framework_mandatory_</w:instrText>
      </w:r>
      <w:r w:rsidR="00C53226" w:rsidRPr="00181DC7">
        <w:rPr>
          <w:lang w:val="fr-FR"/>
        </w:rPr>
        <w:instrText xml:space="preserve">lobby_register180613" </w:instrText>
      </w:r>
      <w:r w:rsidR="00C53226">
        <w:fldChar w:fldCharType="separate"/>
      </w:r>
      <w:r w:rsidR="004301B4" w:rsidRPr="00181DC7">
        <w:rPr>
          <w:rStyle w:val="Hyperlink"/>
          <w:lang w:val="fr-FR"/>
        </w:rPr>
        <w:t>http://www.foeeurope.org/legal_framework_mandatory_lobby_register180613</w:t>
      </w:r>
      <w:r w:rsidR="00C53226">
        <w:rPr>
          <w:rStyle w:val="Hyperlink"/>
          <w:lang w:val="en-US"/>
        </w:rPr>
        <w:fldChar w:fldCharType="end"/>
      </w:r>
      <w:r w:rsidR="004301B4" w:rsidRPr="00181DC7">
        <w:rPr>
          <w:lang w:val="fr-FR"/>
        </w:rPr>
        <w:t xml:space="preserve"> </w:t>
      </w:r>
    </w:p>
  </w:footnote>
  <w:footnote w:id="22">
    <w:p w14:paraId="4FB3B23F" w14:textId="77777777" w:rsidR="00D7672A" w:rsidRPr="00181DC7" w:rsidRDefault="00D7672A" w:rsidP="003079B2">
      <w:pPr>
        <w:pStyle w:val="FootnoteText"/>
        <w:rPr>
          <w:lang w:val="fr-FR"/>
        </w:rPr>
      </w:pPr>
      <w:r>
        <w:rPr>
          <w:rStyle w:val="FootnoteReference"/>
        </w:rPr>
        <w:footnoteRef/>
      </w:r>
      <w:r w:rsidRPr="00181DC7">
        <w:rPr>
          <w:lang w:val="fr-FR"/>
        </w:rPr>
        <w:t xml:space="preserve"> </w:t>
      </w:r>
      <w:r w:rsidR="00C53226">
        <w:fldChar w:fldCharType="begin"/>
      </w:r>
      <w:r w:rsidR="00C53226" w:rsidRPr="00181DC7">
        <w:rPr>
          <w:lang w:val="fr-FR"/>
        </w:rPr>
        <w:instrText xml:space="preserve"> HYPERLINK "http://www.europarl.europa.eu/RegData/etudes/BRIE/2016/581950/EPRS_BRI(2016)581950_EN.pdf" </w:instrText>
      </w:r>
      <w:r w:rsidR="00C53226">
        <w:fldChar w:fldCharType="separate"/>
      </w:r>
      <w:r w:rsidR="004301B4" w:rsidRPr="00181DC7">
        <w:rPr>
          <w:rStyle w:val="Hyperlink"/>
          <w:lang w:val="fr-FR"/>
        </w:rPr>
        <w:t>http://www.europarl.europa.eu/RegData/etudes/BRIE/2016/581950/EPRS_BRI(2016)581950_EN.pdf</w:t>
      </w:r>
      <w:r w:rsidR="00C53226">
        <w:rPr>
          <w:rStyle w:val="Hyperlink"/>
          <w:lang w:val="en-US"/>
        </w:rPr>
        <w:fldChar w:fldCharType="end"/>
      </w:r>
      <w:r w:rsidR="004301B4" w:rsidRPr="00181DC7">
        <w:rPr>
          <w:lang w:val="fr-FR"/>
        </w:rPr>
        <w:t xml:space="preserve"> </w:t>
      </w:r>
    </w:p>
  </w:footnote>
  <w:footnote w:id="23">
    <w:p w14:paraId="3BC9F7E0" w14:textId="77777777" w:rsidR="00D7672A" w:rsidRPr="00181DC7" w:rsidRDefault="00D7672A" w:rsidP="003079B2">
      <w:pPr>
        <w:pStyle w:val="FootnoteText"/>
        <w:jc w:val="left"/>
        <w:rPr>
          <w:lang w:val="fr-FR"/>
        </w:rPr>
      </w:pPr>
      <w:r>
        <w:rPr>
          <w:rStyle w:val="FootnoteReference"/>
        </w:rPr>
        <w:footnoteRef/>
      </w:r>
      <w:r w:rsidRPr="00181DC7">
        <w:rPr>
          <w:lang w:val="fr-FR"/>
        </w:rPr>
        <w:t xml:space="preserve"> </w:t>
      </w:r>
      <w:r w:rsidR="00C53226">
        <w:fldChar w:fldCharType="begin"/>
      </w:r>
      <w:r w:rsidR="00C53226" w:rsidRPr="00181DC7">
        <w:rPr>
          <w:lang w:val="fr-FR"/>
        </w:rPr>
        <w:instrText xml:space="preserve"> HYPERLINK "http://ec.europa.eu/smart-regulation/impact/planned_ia/docs/2015_sg_010_transparencyr_04022015_updated_fvp_en.pdf" </w:instrText>
      </w:r>
      <w:r w:rsidR="00C53226">
        <w:fldChar w:fldCharType="separate"/>
      </w:r>
      <w:r w:rsidR="004301B4" w:rsidRPr="00181DC7">
        <w:rPr>
          <w:rStyle w:val="Hyperlink"/>
          <w:lang w:val="fr-FR"/>
        </w:rPr>
        <w:t>http://ec.europa.eu/smart-regulation/impact/planned_ia/docs/2015_sg_010_transparencyr_04022015_updated_fvp_en.pdf</w:t>
      </w:r>
      <w:r w:rsidR="00C53226">
        <w:rPr>
          <w:rStyle w:val="Hyperlink"/>
          <w:lang w:val="en-US"/>
        </w:rPr>
        <w:fldChar w:fldCharType="end"/>
      </w:r>
      <w:r w:rsidR="004301B4" w:rsidRPr="00181DC7">
        <w:rPr>
          <w:lang w:val="fr-FR"/>
        </w:rPr>
        <w:t xml:space="preserve"> </w:t>
      </w:r>
    </w:p>
  </w:footnote>
  <w:footnote w:id="24">
    <w:p w14:paraId="4E370FCF" w14:textId="77777777" w:rsidR="00D7672A" w:rsidRPr="00355DAC" w:rsidRDefault="00D7672A" w:rsidP="003079B2">
      <w:pPr>
        <w:pStyle w:val="FootnoteText"/>
        <w:rPr>
          <w:lang w:val="en-US"/>
        </w:rPr>
      </w:pPr>
      <w:r>
        <w:rPr>
          <w:rStyle w:val="FootnoteReference"/>
        </w:rPr>
        <w:footnoteRef/>
      </w:r>
      <w:r w:rsidRPr="00355DAC">
        <w:rPr>
          <w:lang w:val="en-US"/>
        </w:rPr>
        <w:t xml:space="preserve"> </w:t>
      </w:r>
      <w:r>
        <w:rPr>
          <w:rFonts w:eastAsia="Arial Unicode MS"/>
          <w:lang w:val="en-US"/>
        </w:rPr>
        <w:t>According to recital 6 of Regulation 1049/2001, “</w:t>
      </w:r>
      <w:r w:rsidRPr="00BC010D">
        <w:rPr>
          <w:rFonts w:eastAsia="Arial Unicode MS"/>
          <w:i/>
          <w:u w:val="single"/>
          <w:lang w:val="en-US"/>
        </w:rPr>
        <w:t>w</w:t>
      </w:r>
      <w:r w:rsidRPr="00BC010D">
        <w:rPr>
          <w:i/>
          <w:u w:val="single"/>
          <w:lang w:val="en-US"/>
        </w:rPr>
        <w:t>ider</w:t>
      </w:r>
      <w:r w:rsidRPr="00663A56">
        <w:rPr>
          <w:i/>
          <w:lang w:val="en-US"/>
        </w:rPr>
        <w:t xml:space="preserve"> access</w:t>
      </w:r>
      <w:r w:rsidRPr="00BC010D">
        <w:rPr>
          <w:i/>
          <w:lang w:val="en-US"/>
        </w:rPr>
        <w:t xml:space="preserve"> should be granted to documents in cases where the institutions are actin</w:t>
      </w:r>
      <w:r>
        <w:rPr>
          <w:i/>
          <w:lang w:val="en-US"/>
        </w:rPr>
        <w:t>g in their legislative capacity […]</w:t>
      </w:r>
      <w:r w:rsidRPr="00BC010D">
        <w:rPr>
          <w:i/>
          <w:lang w:val="en-US"/>
        </w:rPr>
        <w:t xml:space="preserve"> Such documents should be made directly accessible </w:t>
      </w:r>
      <w:r w:rsidRPr="00BC010D">
        <w:rPr>
          <w:i/>
          <w:u w:val="single"/>
          <w:lang w:val="en-US"/>
        </w:rPr>
        <w:t>to the greatest possible extent</w:t>
      </w:r>
      <w:r>
        <w:rPr>
          <w:lang w:val="en-US"/>
        </w:rPr>
        <w:t>” (emphasis added).</w:t>
      </w:r>
      <w:r>
        <w:rPr>
          <w:rFonts w:eastAsia="Arial Unicode MS"/>
          <w:lang w:val="en-US"/>
        </w:rPr>
        <w:t xml:space="preserve"> </w:t>
      </w:r>
    </w:p>
  </w:footnote>
  <w:footnote w:id="25">
    <w:p w14:paraId="31666452" w14:textId="77777777" w:rsidR="00D7672A" w:rsidRPr="0034673B" w:rsidRDefault="00D7672A" w:rsidP="003079B2">
      <w:pPr>
        <w:pStyle w:val="FootnoteText"/>
        <w:jc w:val="left"/>
        <w:rPr>
          <w:lang w:val="en-US"/>
        </w:rPr>
      </w:pPr>
      <w:r>
        <w:rPr>
          <w:rStyle w:val="FootnoteReference"/>
        </w:rPr>
        <w:footnoteRef/>
      </w:r>
      <w:r w:rsidRPr="0034673B">
        <w:rPr>
          <w:lang w:val="en-US"/>
        </w:rPr>
        <w:t xml:space="preserve"> </w:t>
      </w:r>
      <w:r w:rsidR="00C53226">
        <w:fldChar w:fldCharType="begin"/>
      </w:r>
      <w:r w:rsidR="00C53226" w:rsidRPr="00181DC7">
        <w:rPr>
          <w:lang w:val="en-US"/>
        </w:rPr>
        <w:instrText xml:space="preserve"> HYPERLINK "http://www.transparencyinternational.eu/2015/09/press-release-more-than-half-the-entries-on-the-brussels-lobby-register-are-inaccurate-incomplete-or-meaningless-2/" </w:instrText>
      </w:r>
      <w:r w:rsidR="00C53226">
        <w:fldChar w:fldCharType="separate"/>
      </w:r>
      <w:r w:rsidR="004301B4" w:rsidRPr="0066772C">
        <w:rPr>
          <w:rStyle w:val="Hyperlink"/>
          <w:lang w:val="en-US"/>
        </w:rPr>
        <w:t>http://www.transparencyinternational.eu/2015/09/press-release-more-than-half-the-entries-on-the-brussels-lobby-register-are-inaccurate-incomplete-or-meaningless-2/</w:t>
      </w:r>
      <w:r w:rsidR="00C53226">
        <w:rPr>
          <w:rStyle w:val="Hyperlink"/>
          <w:lang w:val="en-US"/>
        </w:rPr>
        <w:fldChar w:fldCharType="end"/>
      </w:r>
      <w:r w:rsidR="004301B4">
        <w:rPr>
          <w:lang w:val="en-US"/>
        </w:rPr>
        <w:t xml:space="preserve"> </w:t>
      </w:r>
    </w:p>
  </w:footnote>
  <w:footnote w:id="26">
    <w:p w14:paraId="40237BC0" w14:textId="77777777" w:rsidR="00D7672A" w:rsidRPr="0034673B" w:rsidRDefault="00D7672A" w:rsidP="003079B2">
      <w:pPr>
        <w:pStyle w:val="FootnoteText"/>
        <w:rPr>
          <w:lang w:val="en-US"/>
        </w:rPr>
      </w:pPr>
      <w:r>
        <w:rPr>
          <w:rStyle w:val="FootnoteReference"/>
        </w:rPr>
        <w:footnoteRef/>
      </w:r>
      <w:r w:rsidRPr="0034673B">
        <w:rPr>
          <w:lang w:val="en-US"/>
        </w:rPr>
        <w:t xml:space="preserve"> </w:t>
      </w:r>
      <w:r w:rsidR="00C53226">
        <w:fldChar w:fldCharType="begin"/>
      </w:r>
      <w:r w:rsidR="00C53226" w:rsidRPr="00181DC7">
        <w:rPr>
          <w:lang w:val="en-US"/>
        </w:rPr>
        <w:instrText xml:space="preserve"> HYPERLINK "http://alter-eu.org/sites/default/files/documents/Lawfirmsstudy31052016_0.pdf" </w:instrText>
      </w:r>
      <w:r w:rsidR="00C53226">
        <w:fldChar w:fldCharType="separate"/>
      </w:r>
      <w:r w:rsidR="004301B4" w:rsidRPr="0066772C">
        <w:rPr>
          <w:rStyle w:val="Hyperlink"/>
          <w:lang w:val="en-US"/>
        </w:rPr>
        <w:t>http://alter-eu.org/sites/default/files/documents/Lawfirmsstudy31052016_0.pdf</w:t>
      </w:r>
      <w:r w:rsidR="00C53226">
        <w:rPr>
          <w:rStyle w:val="Hyperlink"/>
          <w:lang w:val="en-US"/>
        </w:rPr>
        <w:fldChar w:fldCharType="end"/>
      </w:r>
      <w:r w:rsidR="004301B4">
        <w:rPr>
          <w:lang w:val="en-US"/>
        </w:rPr>
        <w:t xml:space="preserve"> </w:t>
      </w:r>
    </w:p>
  </w:footnote>
  <w:footnote w:id="27">
    <w:p w14:paraId="2C4F460C" w14:textId="77777777" w:rsidR="00D7672A" w:rsidRPr="0034673B" w:rsidRDefault="00D7672A" w:rsidP="003079B2">
      <w:pPr>
        <w:pStyle w:val="FootnoteText"/>
        <w:rPr>
          <w:lang w:val="en-US"/>
        </w:rPr>
      </w:pPr>
      <w:r>
        <w:rPr>
          <w:rStyle w:val="FootnoteReference"/>
        </w:rPr>
        <w:footnoteRef/>
      </w:r>
      <w:r w:rsidRPr="0034673B">
        <w:rPr>
          <w:lang w:val="en-US"/>
        </w:rPr>
        <w:t xml:space="preserve"> </w:t>
      </w:r>
      <w:r w:rsidR="00C53226">
        <w:fldChar w:fldCharType="begin"/>
      </w:r>
      <w:r w:rsidR="00C53226" w:rsidRPr="00181DC7">
        <w:rPr>
          <w:lang w:val="en-US"/>
        </w:rPr>
        <w:instrText xml:space="preserve"> HYPERLINK "http://alter-eu.org/member-state-offices-in-brussels-wide-open-to-corporate-lobbyists" </w:instrText>
      </w:r>
      <w:r w:rsidR="00C53226">
        <w:fldChar w:fldCharType="separate"/>
      </w:r>
      <w:r w:rsidR="004301B4" w:rsidRPr="0066772C">
        <w:rPr>
          <w:rStyle w:val="Hyperlink"/>
          <w:lang w:val="en-US"/>
        </w:rPr>
        <w:t>http://alter-eu.org/member-state-offices-in-brussels-wide-open-to-corporate-lobbyists</w:t>
      </w:r>
      <w:r w:rsidR="00C53226">
        <w:rPr>
          <w:rStyle w:val="Hyperlink"/>
          <w:lang w:val="en-US"/>
        </w:rPr>
        <w:fldChar w:fldCharType="end"/>
      </w:r>
      <w:r w:rsidR="004301B4">
        <w:rPr>
          <w:lang w:val="en-US"/>
        </w:rPr>
        <w:t xml:space="preserve"> </w:t>
      </w:r>
    </w:p>
  </w:footnote>
  <w:footnote w:id="28">
    <w:p w14:paraId="783F1744" w14:textId="77777777" w:rsidR="00D7672A" w:rsidRPr="0034673B" w:rsidRDefault="00D7672A" w:rsidP="003079B2">
      <w:pPr>
        <w:pStyle w:val="FootnoteText"/>
        <w:rPr>
          <w:lang w:val="en-US"/>
        </w:rPr>
      </w:pPr>
      <w:r>
        <w:rPr>
          <w:rStyle w:val="FootnoteReference"/>
        </w:rPr>
        <w:footnoteRef/>
      </w:r>
      <w:r w:rsidRPr="0034673B">
        <w:rPr>
          <w:lang w:val="en-US"/>
        </w:rPr>
        <w:t xml:space="preserve"> </w:t>
      </w:r>
      <w:r w:rsidR="00C53226">
        <w:fldChar w:fldCharType="begin"/>
      </w:r>
      <w:r w:rsidR="00C53226" w:rsidRPr="00181DC7">
        <w:rPr>
          <w:lang w:val="en-US"/>
        </w:rPr>
        <w:instrText xml:space="preserve"> H</w:instrText>
      </w:r>
      <w:r w:rsidR="00C53226" w:rsidRPr="00181DC7">
        <w:rPr>
          <w:lang w:val="en-US"/>
        </w:rPr>
        <w:instrText xml:space="preserve">YPERLINK "http://ec.europa.eu/transparency/civil_society/public_consultation_en.htm" </w:instrText>
      </w:r>
      <w:r w:rsidR="00C53226">
        <w:fldChar w:fldCharType="separate"/>
      </w:r>
      <w:r w:rsidR="004301B4" w:rsidRPr="0066772C">
        <w:rPr>
          <w:rStyle w:val="Hyperlink"/>
          <w:lang w:val="en-US"/>
        </w:rPr>
        <w:t>http://ec.europa.eu/transparency/civil_society/public_consultation_en.htm</w:t>
      </w:r>
      <w:r w:rsidR="00C53226">
        <w:rPr>
          <w:rStyle w:val="Hyperlink"/>
          <w:lang w:val="en-US"/>
        </w:rPr>
        <w:fldChar w:fldCharType="end"/>
      </w:r>
      <w:r w:rsidR="004301B4">
        <w:rPr>
          <w:lang w:val="en-US"/>
        </w:rPr>
        <w:t xml:space="preserve"> </w:t>
      </w:r>
    </w:p>
  </w:footnote>
  <w:footnote w:id="29">
    <w:p w14:paraId="276C94E6" w14:textId="77777777" w:rsidR="00D7672A" w:rsidRPr="0034673B" w:rsidRDefault="00D7672A" w:rsidP="003079B2">
      <w:pPr>
        <w:pStyle w:val="FootnoteText"/>
        <w:rPr>
          <w:lang w:val="en-US"/>
        </w:rPr>
      </w:pPr>
      <w:r>
        <w:rPr>
          <w:rStyle w:val="FootnoteReference"/>
        </w:rPr>
        <w:footnoteRef/>
      </w:r>
      <w:r w:rsidRPr="0034673B">
        <w:rPr>
          <w:lang w:val="en-US"/>
        </w:rPr>
        <w:t xml:space="preserve"> </w:t>
      </w:r>
      <w:r w:rsidR="00C53226">
        <w:fldChar w:fldCharType="begin"/>
      </w:r>
      <w:r w:rsidR="00C53226" w:rsidRPr="00181DC7">
        <w:rPr>
          <w:lang w:val="en-US"/>
        </w:rPr>
        <w:instrText xml:space="preserve"> HYPERLINK "http://eur-lex.europa.eu/legal-content/EN/TXT/HTML/?uri=CELEX:12012E/TXT&amp;from=E</w:instrText>
      </w:r>
      <w:r w:rsidR="00C53226" w:rsidRPr="00181DC7">
        <w:rPr>
          <w:lang w:val="en-US"/>
        </w:rPr>
        <w:instrText xml:space="preserve">N" </w:instrText>
      </w:r>
      <w:r w:rsidR="00C53226">
        <w:fldChar w:fldCharType="separate"/>
      </w:r>
      <w:r w:rsidR="004301B4" w:rsidRPr="0066772C">
        <w:rPr>
          <w:rStyle w:val="Hyperlink"/>
          <w:lang w:val="en-US"/>
        </w:rPr>
        <w:t>http://eur-lex.europa.eu/legal-content/EN/TXT/HTML/?uri=CELEX:12012E/TXT&amp;from=EN</w:t>
      </w:r>
      <w:r w:rsidR="00C53226">
        <w:rPr>
          <w:rStyle w:val="Hyperlink"/>
          <w:lang w:val="en-US"/>
        </w:rPr>
        <w:fldChar w:fldCharType="end"/>
      </w:r>
      <w:r w:rsidR="004301B4">
        <w:rPr>
          <w:lang w:val="en-US"/>
        </w:rPr>
        <w:t xml:space="preserve"> </w:t>
      </w:r>
    </w:p>
  </w:footnote>
  <w:footnote w:id="30">
    <w:p w14:paraId="0B990583" w14:textId="77777777" w:rsidR="00D7672A" w:rsidRPr="0034673B" w:rsidRDefault="00D7672A" w:rsidP="003079B2">
      <w:pPr>
        <w:pStyle w:val="FootnoteText"/>
        <w:jc w:val="left"/>
        <w:rPr>
          <w:lang w:val="en-US"/>
        </w:rPr>
      </w:pPr>
      <w:r>
        <w:rPr>
          <w:rStyle w:val="FootnoteReference"/>
        </w:rPr>
        <w:footnoteRef/>
      </w:r>
      <w:r w:rsidRPr="0034673B">
        <w:rPr>
          <w:lang w:val="en-US"/>
        </w:rPr>
        <w:t xml:space="preserve"> </w:t>
      </w:r>
      <w:r w:rsidR="00C53226">
        <w:fldChar w:fldCharType="begin"/>
      </w:r>
      <w:r w:rsidR="00C53226" w:rsidRPr="00181DC7">
        <w:rPr>
          <w:lang w:val="en-US"/>
        </w:rPr>
        <w:instrText xml:space="preserve"> HYPERLINK "http://ec.europa.eu/transparencyregister/public/staticPage/displayStaticPage.do;TRPUBLICID-prod=3_lasxQi3yxazrDugevCKsqMPLP8NEK3yL1xDWuVtPrm4EB8y7HB!-9891</w:instrText>
      </w:r>
      <w:r w:rsidR="00C53226" w:rsidRPr="00181DC7">
        <w:rPr>
          <w:lang w:val="en-US"/>
        </w:rPr>
        <w:instrText xml:space="preserve">80051?locale=en&amp;reference=WHY_TRANSPARENCY_REGISTER" </w:instrText>
      </w:r>
      <w:r w:rsidR="00C53226">
        <w:fldChar w:fldCharType="separate"/>
      </w:r>
      <w:r w:rsidR="004301B4" w:rsidRPr="0066772C">
        <w:rPr>
          <w:rStyle w:val="Hyperlink"/>
          <w:lang w:val="en-US"/>
        </w:rPr>
        <w:t>http://ec.europa.eu/transparencyregister/public/staticPage/displayStaticPage.do;TRPUBLICID-prod=3_lasxQi3yxazrDugevCKsqMPLP8NEK3yL1xDWuVtPrm4EB8y7HB!-989180051?locale=en&amp;reference=WHY_TRANSPARENCY_REGISTER</w:t>
      </w:r>
      <w:r w:rsidR="00C53226">
        <w:rPr>
          <w:rStyle w:val="Hyperlink"/>
          <w:lang w:val="en-US"/>
        </w:rPr>
        <w:fldChar w:fldCharType="end"/>
      </w:r>
      <w:r w:rsidR="004301B4">
        <w:rPr>
          <w:lang w:val="en-US"/>
        </w:rPr>
        <w:t xml:space="preserve"> </w:t>
      </w:r>
    </w:p>
  </w:footnote>
  <w:footnote w:id="31">
    <w:p w14:paraId="087530C9" w14:textId="3D58850A" w:rsidR="00D7672A" w:rsidRPr="0034673B" w:rsidRDefault="00D7672A" w:rsidP="003079B2">
      <w:pPr>
        <w:pStyle w:val="FootnoteText"/>
        <w:jc w:val="left"/>
        <w:rPr>
          <w:lang w:val="en-US"/>
        </w:rPr>
      </w:pPr>
      <w:r>
        <w:rPr>
          <w:rStyle w:val="FootnoteReference"/>
        </w:rPr>
        <w:footnoteRef/>
      </w:r>
      <w:r w:rsidRPr="0034673B">
        <w:rPr>
          <w:lang w:val="en-US"/>
        </w:rPr>
        <w:t xml:space="preserve"> </w:t>
      </w:r>
      <w:r w:rsidR="00C53226">
        <w:fldChar w:fldCharType="begin"/>
      </w:r>
      <w:r w:rsidR="00C53226" w:rsidRPr="00181DC7">
        <w:rPr>
          <w:lang w:val="en-US"/>
        </w:rPr>
        <w:instrText xml:space="preserve"> HYPERLINK "http://ec.europa.eu/smart-regulation/impact/planned_ia/docs/2015_sg_010_transparencyr_04022015_updated_fvp_en.pdf" </w:instrText>
      </w:r>
      <w:r w:rsidR="00C53226">
        <w:fldChar w:fldCharType="separate"/>
      </w:r>
      <w:r w:rsidR="00091416" w:rsidRPr="00AF1561">
        <w:rPr>
          <w:rStyle w:val="Hyperlink"/>
          <w:lang w:val="en-US"/>
        </w:rPr>
        <w:t>http://ec.europa.eu/smart-regulation/impact/planned_ia/docs/2015_sg_010_transparencyr_04022015_updated_fvp_en.pdf</w:t>
      </w:r>
      <w:r w:rsidR="00C53226">
        <w:rPr>
          <w:rStyle w:val="Hyperlink"/>
          <w:lang w:val="en-US"/>
        </w:rPr>
        <w:fldChar w:fldCharType="end"/>
      </w:r>
    </w:p>
  </w:footnote>
  <w:footnote w:id="32">
    <w:p w14:paraId="12DD395B" w14:textId="77777777" w:rsidR="00D7672A" w:rsidRPr="00DC436B" w:rsidRDefault="00D7672A" w:rsidP="003079B2">
      <w:pPr>
        <w:pStyle w:val="AIEFootnote"/>
      </w:pPr>
      <w:r>
        <w:rPr>
          <w:rStyle w:val="FootnoteReference"/>
        </w:rPr>
        <w:footnoteRef/>
      </w:r>
      <w:r>
        <w:t xml:space="preserve"> </w:t>
      </w:r>
      <w:r w:rsidRPr="00DC436B">
        <w:rPr>
          <w:rFonts w:ascii="Times New Roman" w:hAnsi="Times New Roman"/>
        </w:rPr>
        <w:t xml:space="preserve">The European Court of Human Rights has confirmed that the right of access to information is an inherent part of freedom of expression in a series of cases: Case of </w:t>
      </w:r>
      <w:proofErr w:type="spellStart"/>
      <w:r w:rsidRPr="00DC436B">
        <w:rPr>
          <w:rFonts w:ascii="Times New Roman" w:hAnsi="Times New Roman"/>
        </w:rPr>
        <w:t>Társaság</w:t>
      </w:r>
      <w:proofErr w:type="spellEnd"/>
      <w:r w:rsidRPr="00DC436B">
        <w:rPr>
          <w:rFonts w:ascii="Times New Roman" w:hAnsi="Times New Roman"/>
        </w:rPr>
        <w:t xml:space="preserve"> a </w:t>
      </w:r>
      <w:proofErr w:type="spellStart"/>
      <w:r w:rsidRPr="00DC436B">
        <w:rPr>
          <w:rFonts w:ascii="Times New Roman" w:hAnsi="Times New Roman"/>
        </w:rPr>
        <w:t>Szabadságjogokért</w:t>
      </w:r>
      <w:proofErr w:type="spellEnd"/>
      <w:r w:rsidRPr="00DC436B">
        <w:rPr>
          <w:rFonts w:ascii="Times New Roman" w:hAnsi="Times New Roman"/>
        </w:rPr>
        <w:t xml:space="preserve"> v. Hungary (App. No. 37374/05), ECHR, 14 April 2009</w:t>
      </w:r>
      <w:r>
        <w:rPr>
          <w:rFonts w:ascii="Times New Roman" w:hAnsi="Times New Roman"/>
        </w:rPr>
        <w:t xml:space="preserve">; </w:t>
      </w:r>
      <w:r w:rsidRPr="00DC436B">
        <w:rPr>
          <w:rFonts w:ascii="Times New Roman" w:hAnsi="Times New Roman"/>
        </w:rPr>
        <w:t xml:space="preserve">Case of the Youth Initiative for Human Rights v. Serbia; Case of </w:t>
      </w:r>
      <w:proofErr w:type="spellStart"/>
      <w:r w:rsidRPr="00DC436B">
        <w:rPr>
          <w:rFonts w:ascii="Times New Roman" w:hAnsi="Times New Roman"/>
        </w:rPr>
        <w:t>Österreichische</w:t>
      </w:r>
      <w:proofErr w:type="spellEnd"/>
      <w:r w:rsidRPr="00DC436B">
        <w:rPr>
          <w:rFonts w:ascii="Times New Roman" w:hAnsi="Times New Roman"/>
        </w:rPr>
        <w:t xml:space="preserve"> </w:t>
      </w:r>
      <w:proofErr w:type="spellStart"/>
      <w:r w:rsidRPr="00DC436B">
        <w:rPr>
          <w:rFonts w:ascii="Times New Roman" w:hAnsi="Times New Roman"/>
        </w:rPr>
        <w:t>Vereinigung</w:t>
      </w:r>
      <w:proofErr w:type="spellEnd"/>
      <w:r w:rsidRPr="00DC436B">
        <w:rPr>
          <w:rFonts w:ascii="Times New Roman" w:hAnsi="Times New Roman"/>
        </w:rPr>
        <w:t xml:space="preserve"> </w:t>
      </w:r>
      <w:proofErr w:type="spellStart"/>
      <w:r w:rsidRPr="00DC436B">
        <w:rPr>
          <w:rFonts w:ascii="Times New Roman" w:hAnsi="Times New Roman"/>
        </w:rPr>
        <w:t>zur</w:t>
      </w:r>
      <w:proofErr w:type="spellEnd"/>
      <w:r w:rsidRPr="00DC436B">
        <w:rPr>
          <w:rFonts w:ascii="Times New Roman" w:hAnsi="Times New Roman"/>
        </w:rPr>
        <w:t xml:space="preserve"> </w:t>
      </w:r>
      <w:proofErr w:type="spellStart"/>
      <w:r w:rsidRPr="00DC436B">
        <w:rPr>
          <w:rFonts w:ascii="Times New Roman" w:hAnsi="Times New Roman"/>
        </w:rPr>
        <w:t>Erhaltung</w:t>
      </w:r>
      <w:proofErr w:type="spellEnd"/>
      <w:r w:rsidRPr="00DC436B">
        <w:rPr>
          <w:rFonts w:ascii="Times New Roman" w:hAnsi="Times New Roman"/>
        </w:rPr>
        <w:t xml:space="preserve">, </w:t>
      </w:r>
      <w:proofErr w:type="spellStart"/>
      <w:r w:rsidRPr="00DC436B">
        <w:rPr>
          <w:rFonts w:ascii="Times New Roman" w:hAnsi="Times New Roman"/>
        </w:rPr>
        <w:t>Stärkung</w:t>
      </w:r>
      <w:proofErr w:type="spellEnd"/>
      <w:r w:rsidRPr="00DC436B">
        <w:rPr>
          <w:rFonts w:ascii="Times New Roman" w:hAnsi="Times New Roman"/>
        </w:rPr>
        <w:t xml:space="preserve"> und </w:t>
      </w:r>
      <w:proofErr w:type="spellStart"/>
      <w:r w:rsidRPr="00DC436B">
        <w:rPr>
          <w:rFonts w:ascii="Times New Roman" w:hAnsi="Times New Roman"/>
        </w:rPr>
        <w:t>Schaffung</w:t>
      </w:r>
      <w:proofErr w:type="spellEnd"/>
      <w:r w:rsidRPr="00DC436B">
        <w:rPr>
          <w:rFonts w:ascii="Times New Roman" w:hAnsi="Times New Roman"/>
        </w:rPr>
        <w:t xml:space="preserve"> </w:t>
      </w:r>
      <w:proofErr w:type="spellStart"/>
      <w:r w:rsidRPr="00DC436B">
        <w:rPr>
          <w:rFonts w:ascii="Times New Roman" w:hAnsi="Times New Roman"/>
        </w:rPr>
        <w:t>eines</w:t>
      </w:r>
      <w:proofErr w:type="spellEnd"/>
      <w:r w:rsidRPr="00DC436B">
        <w:rPr>
          <w:rFonts w:ascii="Times New Roman" w:hAnsi="Times New Roman"/>
        </w:rPr>
        <w:t xml:space="preserve"> </w:t>
      </w:r>
      <w:proofErr w:type="spellStart"/>
      <w:r w:rsidRPr="00DC436B">
        <w:rPr>
          <w:rFonts w:ascii="Times New Roman" w:hAnsi="Times New Roman"/>
        </w:rPr>
        <w:t>wirtschaftlich</w:t>
      </w:r>
      <w:proofErr w:type="spellEnd"/>
      <w:r w:rsidRPr="00DC436B">
        <w:rPr>
          <w:rFonts w:ascii="Times New Roman" w:hAnsi="Times New Roman"/>
        </w:rPr>
        <w:t xml:space="preserve"> </w:t>
      </w:r>
      <w:proofErr w:type="spellStart"/>
      <w:r w:rsidRPr="00DC436B">
        <w:rPr>
          <w:rFonts w:ascii="Times New Roman" w:hAnsi="Times New Roman"/>
        </w:rPr>
        <w:t>gesunden</w:t>
      </w:r>
      <w:proofErr w:type="spellEnd"/>
      <w:r w:rsidRPr="00DC436B">
        <w:rPr>
          <w:rFonts w:ascii="Times New Roman" w:hAnsi="Times New Roman"/>
        </w:rPr>
        <w:t xml:space="preserve"> land- und </w:t>
      </w:r>
      <w:proofErr w:type="spellStart"/>
      <w:r w:rsidRPr="00DC436B">
        <w:rPr>
          <w:rFonts w:ascii="Times New Roman" w:hAnsi="Times New Roman"/>
        </w:rPr>
        <w:t>forstwirt¬schaftlichen</w:t>
      </w:r>
      <w:proofErr w:type="spellEnd"/>
      <w:r w:rsidRPr="00DC436B">
        <w:rPr>
          <w:rFonts w:ascii="Times New Roman" w:hAnsi="Times New Roman"/>
        </w:rPr>
        <w:t xml:space="preserve"> </w:t>
      </w:r>
      <w:proofErr w:type="spellStart"/>
      <w:r w:rsidRPr="00DC436B">
        <w:rPr>
          <w:rFonts w:ascii="Times New Roman" w:hAnsi="Times New Roman"/>
        </w:rPr>
        <w:t>Grundbesitzes</w:t>
      </w:r>
      <w:proofErr w:type="spellEnd"/>
      <w:r w:rsidRPr="00DC436B">
        <w:rPr>
          <w:rFonts w:ascii="Times New Roman" w:hAnsi="Times New Roman"/>
        </w:rPr>
        <w:t xml:space="preserve"> v. Austria</w:t>
      </w:r>
      <w:r>
        <w:rPr>
          <w:rFonts w:ascii="Times New Roman" w:hAnsi="Times New Roman"/>
        </w:rPr>
        <w:t xml:space="preserve">. This has also been confirmed by the UN Human Rights Committee in its General Comment No. 34.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E1CF" w14:textId="77777777" w:rsidR="00D7672A" w:rsidRDefault="00D7672A">
    <w:pPr>
      <w:framePr w:wrap="around" w:vAnchor="text" w:hAnchor="margin" w:xAlign="right" w:y="1"/>
    </w:pPr>
    <w:r>
      <w:fldChar w:fldCharType="begin"/>
    </w:r>
    <w:r>
      <w:instrText xml:space="preserve">PAGE  </w:instrText>
    </w:r>
    <w:r>
      <w:fldChar w:fldCharType="separate"/>
    </w:r>
    <w:r>
      <w:rPr>
        <w:noProof/>
      </w:rPr>
      <w:t>1</w:t>
    </w:r>
    <w:r>
      <w:fldChar w:fldCharType="end"/>
    </w:r>
  </w:p>
  <w:p w14:paraId="530BA4E1" w14:textId="77777777" w:rsidR="00D7672A" w:rsidRDefault="00D7672A">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41D4" w14:textId="77777777" w:rsidR="00D7672A" w:rsidRDefault="00D7672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08BE" w14:textId="77777777" w:rsidR="00D7672A" w:rsidRDefault="00D7672A">
    <w:pP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A69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69A2B1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6845DC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9F69B4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E4C8B9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38AF03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4A03E1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CCA636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031190"/>
    <w:multiLevelType w:val="hybridMultilevel"/>
    <w:tmpl w:val="23A0048E"/>
    <w:lvl w:ilvl="0" w:tplc="3E603240">
      <w:start w:val="1"/>
      <w:numFmt w:val="lowerLetter"/>
      <w:lvlRestart w:val="0"/>
      <w:pStyle w:val="ListParagraph"/>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1F4F5E"/>
    <w:multiLevelType w:val="hybridMultilevel"/>
    <w:tmpl w:val="FA22A2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9060AB"/>
    <w:multiLevelType w:val="hybridMultilevel"/>
    <w:tmpl w:val="DE5272E6"/>
    <w:lvl w:ilvl="0" w:tplc="4FCE01B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6C2458"/>
    <w:multiLevelType w:val="hybridMultilevel"/>
    <w:tmpl w:val="1D2A5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8637A6"/>
    <w:multiLevelType w:val="multilevel"/>
    <w:tmpl w:val="71DED3E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5"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6A6D9A"/>
    <w:multiLevelType w:val="hybridMultilevel"/>
    <w:tmpl w:val="61DCCE86"/>
    <w:lvl w:ilvl="0" w:tplc="9FAAD770">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A200323"/>
    <w:multiLevelType w:val="hybridMultilevel"/>
    <w:tmpl w:val="043235E6"/>
    <w:lvl w:ilvl="0" w:tplc="BA7A5478">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9" w15:restartNumberingAfterBreak="0">
    <w:nsid w:val="7B1518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9"/>
  </w:num>
  <w:num w:numId="3">
    <w:abstractNumId w:val="15"/>
  </w:num>
  <w:num w:numId="4">
    <w:abstractNumId w:val="19"/>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8"/>
  </w:num>
  <w:num w:numId="14">
    <w:abstractNumId w:val="16"/>
  </w:num>
  <w:num w:numId="15">
    <w:abstractNumId w:val="10"/>
  </w:num>
  <w:num w:numId="16">
    <w:abstractNumId w:val="13"/>
  </w:num>
  <w:num w:numId="17">
    <w:abstractNumId w:val="18"/>
  </w:num>
  <w:num w:numId="18">
    <w:abstractNumId w:val="11"/>
  </w:num>
  <w:num w:numId="19">
    <w:abstractNumId w:val="12"/>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8B"/>
    <w:rsid w:val="00002DEB"/>
    <w:rsid w:val="0000567C"/>
    <w:rsid w:val="00007EBE"/>
    <w:rsid w:val="000101F2"/>
    <w:rsid w:val="00010B9D"/>
    <w:rsid w:val="0001719E"/>
    <w:rsid w:val="00017A1B"/>
    <w:rsid w:val="00021BA9"/>
    <w:rsid w:val="00032EFA"/>
    <w:rsid w:val="00037766"/>
    <w:rsid w:val="00040769"/>
    <w:rsid w:val="00043844"/>
    <w:rsid w:val="00045188"/>
    <w:rsid w:val="000469D6"/>
    <w:rsid w:val="00050F42"/>
    <w:rsid w:val="00051F24"/>
    <w:rsid w:val="00052E32"/>
    <w:rsid w:val="0005325D"/>
    <w:rsid w:val="00060763"/>
    <w:rsid w:val="00063BCD"/>
    <w:rsid w:val="0006525D"/>
    <w:rsid w:val="000669B8"/>
    <w:rsid w:val="00070631"/>
    <w:rsid w:val="00072E3A"/>
    <w:rsid w:val="000730EA"/>
    <w:rsid w:val="00073C2D"/>
    <w:rsid w:val="00074863"/>
    <w:rsid w:val="00076502"/>
    <w:rsid w:val="000838DA"/>
    <w:rsid w:val="00083F55"/>
    <w:rsid w:val="00084953"/>
    <w:rsid w:val="00085C3B"/>
    <w:rsid w:val="00087641"/>
    <w:rsid w:val="00091416"/>
    <w:rsid w:val="000956C5"/>
    <w:rsid w:val="00096B71"/>
    <w:rsid w:val="000A0494"/>
    <w:rsid w:val="000A0766"/>
    <w:rsid w:val="000A1A60"/>
    <w:rsid w:val="000A28D7"/>
    <w:rsid w:val="000A3336"/>
    <w:rsid w:val="000A4BE1"/>
    <w:rsid w:val="000A4F29"/>
    <w:rsid w:val="000B0519"/>
    <w:rsid w:val="000B06AE"/>
    <w:rsid w:val="000B505C"/>
    <w:rsid w:val="000B57CC"/>
    <w:rsid w:val="000C1012"/>
    <w:rsid w:val="000C3709"/>
    <w:rsid w:val="000C4A1E"/>
    <w:rsid w:val="000C4F62"/>
    <w:rsid w:val="000C639E"/>
    <w:rsid w:val="000D0163"/>
    <w:rsid w:val="000D1EFF"/>
    <w:rsid w:val="000D34CC"/>
    <w:rsid w:val="000D7E0B"/>
    <w:rsid w:val="000E065A"/>
    <w:rsid w:val="000E0AC4"/>
    <w:rsid w:val="000E4776"/>
    <w:rsid w:val="000E5241"/>
    <w:rsid w:val="0010040F"/>
    <w:rsid w:val="00106448"/>
    <w:rsid w:val="00111F23"/>
    <w:rsid w:val="00113CBC"/>
    <w:rsid w:val="0012027A"/>
    <w:rsid w:val="00122D20"/>
    <w:rsid w:val="00123159"/>
    <w:rsid w:val="00126174"/>
    <w:rsid w:val="001278D1"/>
    <w:rsid w:val="001318B2"/>
    <w:rsid w:val="001342E3"/>
    <w:rsid w:val="00137E3A"/>
    <w:rsid w:val="00140BE7"/>
    <w:rsid w:val="001410BD"/>
    <w:rsid w:val="00142E12"/>
    <w:rsid w:val="00143839"/>
    <w:rsid w:val="001459D6"/>
    <w:rsid w:val="00155182"/>
    <w:rsid w:val="001553D6"/>
    <w:rsid w:val="00155888"/>
    <w:rsid w:val="00155CC5"/>
    <w:rsid w:val="00156F2D"/>
    <w:rsid w:val="00160C62"/>
    <w:rsid w:val="00160DF1"/>
    <w:rsid w:val="00161C5A"/>
    <w:rsid w:val="001638F4"/>
    <w:rsid w:val="00165007"/>
    <w:rsid w:val="001668EA"/>
    <w:rsid w:val="001725E3"/>
    <w:rsid w:val="0017364F"/>
    <w:rsid w:val="001743AE"/>
    <w:rsid w:val="00174D55"/>
    <w:rsid w:val="001768CC"/>
    <w:rsid w:val="00176FAB"/>
    <w:rsid w:val="001805E0"/>
    <w:rsid w:val="00181800"/>
    <w:rsid w:val="00181DC7"/>
    <w:rsid w:val="001820F0"/>
    <w:rsid w:val="00184072"/>
    <w:rsid w:val="001841F4"/>
    <w:rsid w:val="00185ED3"/>
    <w:rsid w:val="00186743"/>
    <w:rsid w:val="00186F6E"/>
    <w:rsid w:val="0019084B"/>
    <w:rsid w:val="00190D2C"/>
    <w:rsid w:val="00191C62"/>
    <w:rsid w:val="00195546"/>
    <w:rsid w:val="00195C5F"/>
    <w:rsid w:val="001A08FE"/>
    <w:rsid w:val="001A6239"/>
    <w:rsid w:val="001A70D5"/>
    <w:rsid w:val="001A76B7"/>
    <w:rsid w:val="001B0B28"/>
    <w:rsid w:val="001B0E58"/>
    <w:rsid w:val="001B2198"/>
    <w:rsid w:val="001B28B5"/>
    <w:rsid w:val="001B7A21"/>
    <w:rsid w:val="001C09BD"/>
    <w:rsid w:val="001C15FE"/>
    <w:rsid w:val="001C2203"/>
    <w:rsid w:val="001C2489"/>
    <w:rsid w:val="001C4BF1"/>
    <w:rsid w:val="001C4F68"/>
    <w:rsid w:val="001D4638"/>
    <w:rsid w:val="001D4F40"/>
    <w:rsid w:val="001E0423"/>
    <w:rsid w:val="001E1673"/>
    <w:rsid w:val="001F2B65"/>
    <w:rsid w:val="001F34DF"/>
    <w:rsid w:val="001F4A4B"/>
    <w:rsid w:val="001F661F"/>
    <w:rsid w:val="001F66E5"/>
    <w:rsid w:val="002021AC"/>
    <w:rsid w:val="00203093"/>
    <w:rsid w:val="00204F12"/>
    <w:rsid w:val="00212704"/>
    <w:rsid w:val="00214ADB"/>
    <w:rsid w:val="0021652F"/>
    <w:rsid w:val="00224017"/>
    <w:rsid w:val="00225DF9"/>
    <w:rsid w:val="00230857"/>
    <w:rsid w:val="00230FBF"/>
    <w:rsid w:val="002315E5"/>
    <w:rsid w:val="00234F31"/>
    <w:rsid w:val="002370AF"/>
    <w:rsid w:val="00240A2D"/>
    <w:rsid w:val="0024165D"/>
    <w:rsid w:val="0024190B"/>
    <w:rsid w:val="002429DA"/>
    <w:rsid w:val="002431F5"/>
    <w:rsid w:val="00245B46"/>
    <w:rsid w:val="00252D98"/>
    <w:rsid w:val="00254B40"/>
    <w:rsid w:val="00255454"/>
    <w:rsid w:val="00255C06"/>
    <w:rsid w:val="00255EF1"/>
    <w:rsid w:val="00257950"/>
    <w:rsid w:val="0026002E"/>
    <w:rsid w:val="00266A2C"/>
    <w:rsid w:val="00267D90"/>
    <w:rsid w:val="00270273"/>
    <w:rsid w:val="00270E4F"/>
    <w:rsid w:val="002760B3"/>
    <w:rsid w:val="00287302"/>
    <w:rsid w:val="00287FF4"/>
    <w:rsid w:val="00297E9A"/>
    <w:rsid w:val="002A1313"/>
    <w:rsid w:val="002B058B"/>
    <w:rsid w:val="002B07DE"/>
    <w:rsid w:val="002B1AF6"/>
    <w:rsid w:val="002B43FA"/>
    <w:rsid w:val="002B70D6"/>
    <w:rsid w:val="002C073E"/>
    <w:rsid w:val="002C67E7"/>
    <w:rsid w:val="002D0F0A"/>
    <w:rsid w:val="002D5177"/>
    <w:rsid w:val="002E2A38"/>
    <w:rsid w:val="002E45A5"/>
    <w:rsid w:val="002F1043"/>
    <w:rsid w:val="002F23D9"/>
    <w:rsid w:val="002F44B0"/>
    <w:rsid w:val="002F4F8F"/>
    <w:rsid w:val="002F62D8"/>
    <w:rsid w:val="00300C38"/>
    <w:rsid w:val="00300F1A"/>
    <w:rsid w:val="00301C31"/>
    <w:rsid w:val="003079B2"/>
    <w:rsid w:val="003118CA"/>
    <w:rsid w:val="00317468"/>
    <w:rsid w:val="00321408"/>
    <w:rsid w:val="00321826"/>
    <w:rsid w:val="00325FC5"/>
    <w:rsid w:val="003300C7"/>
    <w:rsid w:val="00335636"/>
    <w:rsid w:val="0033595D"/>
    <w:rsid w:val="00337C81"/>
    <w:rsid w:val="00337D84"/>
    <w:rsid w:val="003418C9"/>
    <w:rsid w:val="003443F6"/>
    <w:rsid w:val="003447DC"/>
    <w:rsid w:val="003447F2"/>
    <w:rsid w:val="00344804"/>
    <w:rsid w:val="00344C8F"/>
    <w:rsid w:val="003469D9"/>
    <w:rsid w:val="00346B15"/>
    <w:rsid w:val="00351B38"/>
    <w:rsid w:val="00354D80"/>
    <w:rsid w:val="003551D4"/>
    <w:rsid w:val="00356E0B"/>
    <w:rsid w:val="003603D7"/>
    <w:rsid w:val="003617D5"/>
    <w:rsid w:val="00362371"/>
    <w:rsid w:val="00362F95"/>
    <w:rsid w:val="0036301A"/>
    <w:rsid w:val="0036499A"/>
    <w:rsid w:val="00370B89"/>
    <w:rsid w:val="003748A0"/>
    <w:rsid w:val="00374CB6"/>
    <w:rsid w:val="00375EB3"/>
    <w:rsid w:val="00381047"/>
    <w:rsid w:val="0038322F"/>
    <w:rsid w:val="00383DF1"/>
    <w:rsid w:val="00384DBE"/>
    <w:rsid w:val="00392318"/>
    <w:rsid w:val="003952A4"/>
    <w:rsid w:val="003A0112"/>
    <w:rsid w:val="003A2A0A"/>
    <w:rsid w:val="003A2AE3"/>
    <w:rsid w:val="003B3997"/>
    <w:rsid w:val="003C1ECF"/>
    <w:rsid w:val="003C733F"/>
    <w:rsid w:val="003D637B"/>
    <w:rsid w:val="003E0DDC"/>
    <w:rsid w:val="003E1ED5"/>
    <w:rsid w:val="003E2AD0"/>
    <w:rsid w:val="003F2817"/>
    <w:rsid w:val="003F4F6B"/>
    <w:rsid w:val="003F5BD9"/>
    <w:rsid w:val="00402276"/>
    <w:rsid w:val="00403298"/>
    <w:rsid w:val="004038BE"/>
    <w:rsid w:val="00404088"/>
    <w:rsid w:val="00406AAB"/>
    <w:rsid w:val="00406BE7"/>
    <w:rsid w:val="00410763"/>
    <w:rsid w:val="00412F2A"/>
    <w:rsid w:val="00413360"/>
    <w:rsid w:val="00413609"/>
    <w:rsid w:val="00413A36"/>
    <w:rsid w:val="004141AB"/>
    <w:rsid w:val="00415B3C"/>
    <w:rsid w:val="00416E31"/>
    <w:rsid w:val="004173A8"/>
    <w:rsid w:val="004226B8"/>
    <w:rsid w:val="00423A9C"/>
    <w:rsid w:val="00424590"/>
    <w:rsid w:val="004259EC"/>
    <w:rsid w:val="00426C24"/>
    <w:rsid w:val="004301B4"/>
    <w:rsid w:val="0043376F"/>
    <w:rsid w:val="0043702B"/>
    <w:rsid w:val="00437175"/>
    <w:rsid w:val="0044231D"/>
    <w:rsid w:val="00444351"/>
    <w:rsid w:val="00446143"/>
    <w:rsid w:val="00452043"/>
    <w:rsid w:val="00452705"/>
    <w:rsid w:val="00460100"/>
    <w:rsid w:val="004641EE"/>
    <w:rsid w:val="00464B16"/>
    <w:rsid w:val="004670E1"/>
    <w:rsid w:val="00467A5F"/>
    <w:rsid w:val="00471136"/>
    <w:rsid w:val="00477C08"/>
    <w:rsid w:val="004831BC"/>
    <w:rsid w:val="00490F03"/>
    <w:rsid w:val="004916D3"/>
    <w:rsid w:val="004952A4"/>
    <w:rsid w:val="00496A93"/>
    <w:rsid w:val="004A1994"/>
    <w:rsid w:val="004A41EB"/>
    <w:rsid w:val="004A54E3"/>
    <w:rsid w:val="004B154E"/>
    <w:rsid w:val="004B1E44"/>
    <w:rsid w:val="004B4246"/>
    <w:rsid w:val="004B5A3C"/>
    <w:rsid w:val="004C1E25"/>
    <w:rsid w:val="004D0E63"/>
    <w:rsid w:val="004D2A97"/>
    <w:rsid w:val="004D3A1A"/>
    <w:rsid w:val="004E00B7"/>
    <w:rsid w:val="004E12F9"/>
    <w:rsid w:val="004E4D39"/>
    <w:rsid w:val="004E5275"/>
    <w:rsid w:val="004E60B9"/>
    <w:rsid w:val="004E6F5A"/>
    <w:rsid w:val="004F0224"/>
    <w:rsid w:val="004F67A8"/>
    <w:rsid w:val="005129C9"/>
    <w:rsid w:val="00517C57"/>
    <w:rsid w:val="005204C8"/>
    <w:rsid w:val="00521280"/>
    <w:rsid w:val="00525107"/>
    <w:rsid w:val="005253B5"/>
    <w:rsid w:val="005255DA"/>
    <w:rsid w:val="005307A0"/>
    <w:rsid w:val="00531F0C"/>
    <w:rsid w:val="005320EA"/>
    <w:rsid w:val="00540572"/>
    <w:rsid w:val="005416F5"/>
    <w:rsid w:val="00541F92"/>
    <w:rsid w:val="00543768"/>
    <w:rsid w:val="00544124"/>
    <w:rsid w:val="00546443"/>
    <w:rsid w:val="00546611"/>
    <w:rsid w:val="00547FDC"/>
    <w:rsid w:val="00552AE7"/>
    <w:rsid w:val="0055659C"/>
    <w:rsid w:val="005605F3"/>
    <w:rsid w:val="00560741"/>
    <w:rsid w:val="005665EC"/>
    <w:rsid w:val="00570882"/>
    <w:rsid w:val="00571B5C"/>
    <w:rsid w:val="00573AE0"/>
    <w:rsid w:val="00573D64"/>
    <w:rsid w:val="005740BF"/>
    <w:rsid w:val="00576341"/>
    <w:rsid w:val="0058558E"/>
    <w:rsid w:val="005857D9"/>
    <w:rsid w:val="005872A9"/>
    <w:rsid w:val="00587966"/>
    <w:rsid w:val="00590ADE"/>
    <w:rsid w:val="0059129F"/>
    <w:rsid w:val="005951DB"/>
    <w:rsid w:val="00595C2B"/>
    <w:rsid w:val="005A05A8"/>
    <w:rsid w:val="005A060D"/>
    <w:rsid w:val="005A2227"/>
    <w:rsid w:val="005A36F9"/>
    <w:rsid w:val="005A4868"/>
    <w:rsid w:val="005A59A2"/>
    <w:rsid w:val="005A7418"/>
    <w:rsid w:val="005B143B"/>
    <w:rsid w:val="005B1D66"/>
    <w:rsid w:val="005C1648"/>
    <w:rsid w:val="005C4B10"/>
    <w:rsid w:val="005D1C28"/>
    <w:rsid w:val="005D584A"/>
    <w:rsid w:val="005D6EB9"/>
    <w:rsid w:val="005D7929"/>
    <w:rsid w:val="005E088C"/>
    <w:rsid w:val="005E262D"/>
    <w:rsid w:val="005E2AA3"/>
    <w:rsid w:val="005E6488"/>
    <w:rsid w:val="005E78A5"/>
    <w:rsid w:val="005F1475"/>
    <w:rsid w:val="005F178F"/>
    <w:rsid w:val="00602AAC"/>
    <w:rsid w:val="0060421C"/>
    <w:rsid w:val="0060455F"/>
    <w:rsid w:val="006054F4"/>
    <w:rsid w:val="00610DC5"/>
    <w:rsid w:val="0061639E"/>
    <w:rsid w:val="00622111"/>
    <w:rsid w:val="006230D1"/>
    <w:rsid w:val="00623351"/>
    <w:rsid w:val="00626543"/>
    <w:rsid w:val="00627F22"/>
    <w:rsid w:val="0063116B"/>
    <w:rsid w:val="006358AF"/>
    <w:rsid w:val="00640EC9"/>
    <w:rsid w:val="00645165"/>
    <w:rsid w:val="00646E7D"/>
    <w:rsid w:val="006474CA"/>
    <w:rsid w:val="0065296F"/>
    <w:rsid w:val="00653ECD"/>
    <w:rsid w:val="00660BAC"/>
    <w:rsid w:val="00661854"/>
    <w:rsid w:val="00664131"/>
    <w:rsid w:val="00664674"/>
    <w:rsid w:val="0067007B"/>
    <w:rsid w:val="00671659"/>
    <w:rsid w:val="006766FA"/>
    <w:rsid w:val="006769BE"/>
    <w:rsid w:val="00681697"/>
    <w:rsid w:val="00685491"/>
    <w:rsid w:val="0068634A"/>
    <w:rsid w:val="00692C4E"/>
    <w:rsid w:val="006966C1"/>
    <w:rsid w:val="006969B9"/>
    <w:rsid w:val="00697125"/>
    <w:rsid w:val="006A10FE"/>
    <w:rsid w:val="006A5415"/>
    <w:rsid w:val="006A609C"/>
    <w:rsid w:val="006A680D"/>
    <w:rsid w:val="006B0B33"/>
    <w:rsid w:val="006B3EE5"/>
    <w:rsid w:val="006B497F"/>
    <w:rsid w:val="006B4F29"/>
    <w:rsid w:val="006B7213"/>
    <w:rsid w:val="006C0885"/>
    <w:rsid w:val="006C1B89"/>
    <w:rsid w:val="006C32A1"/>
    <w:rsid w:val="006C5C14"/>
    <w:rsid w:val="006D0639"/>
    <w:rsid w:val="006D11C7"/>
    <w:rsid w:val="006D4998"/>
    <w:rsid w:val="006D54DA"/>
    <w:rsid w:val="006D6083"/>
    <w:rsid w:val="006D680D"/>
    <w:rsid w:val="006D6E7F"/>
    <w:rsid w:val="006E09E7"/>
    <w:rsid w:val="006E1F32"/>
    <w:rsid w:val="006E2EB0"/>
    <w:rsid w:val="006E3DAD"/>
    <w:rsid w:val="006E5271"/>
    <w:rsid w:val="006E721E"/>
    <w:rsid w:val="006F0F4C"/>
    <w:rsid w:val="006F37F2"/>
    <w:rsid w:val="006F4F60"/>
    <w:rsid w:val="006F6282"/>
    <w:rsid w:val="00701A16"/>
    <w:rsid w:val="00703277"/>
    <w:rsid w:val="0071059C"/>
    <w:rsid w:val="0071184F"/>
    <w:rsid w:val="00711AA2"/>
    <w:rsid w:val="00712709"/>
    <w:rsid w:val="0071648F"/>
    <w:rsid w:val="0071738B"/>
    <w:rsid w:val="00721984"/>
    <w:rsid w:val="007244BF"/>
    <w:rsid w:val="0073563C"/>
    <w:rsid w:val="00735ABB"/>
    <w:rsid w:val="007376A8"/>
    <w:rsid w:val="00742BD3"/>
    <w:rsid w:val="00745C4C"/>
    <w:rsid w:val="00746548"/>
    <w:rsid w:val="0074757C"/>
    <w:rsid w:val="00750E24"/>
    <w:rsid w:val="00755F06"/>
    <w:rsid w:val="007562EE"/>
    <w:rsid w:val="00760631"/>
    <w:rsid w:val="0076117A"/>
    <w:rsid w:val="00761E64"/>
    <w:rsid w:val="00764025"/>
    <w:rsid w:val="00764191"/>
    <w:rsid w:val="007642BE"/>
    <w:rsid w:val="007675AF"/>
    <w:rsid w:val="00773E9B"/>
    <w:rsid w:val="00774C47"/>
    <w:rsid w:val="00775E4C"/>
    <w:rsid w:val="00782FCF"/>
    <w:rsid w:val="00790AD8"/>
    <w:rsid w:val="0079152A"/>
    <w:rsid w:val="00792ECC"/>
    <w:rsid w:val="00793A60"/>
    <w:rsid w:val="0079416D"/>
    <w:rsid w:val="00794673"/>
    <w:rsid w:val="00795023"/>
    <w:rsid w:val="007A0AF4"/>
    <w:rsid w:val="007A1890"/>
    <w:rsid w:val="007A1C4C"/>
    <w:rsid w:val="007A2015"/>
    <w:rsid w:val="007A2509"/>
    <w:rsid w:val="007A38BE"/>
    <w:rsid w:val="007B17E3"/>
    <w:rsid w:val="007B2D38"/>
    <w:rsid w:val="007B6320"/>
    <w:rsid w:val="007B6F21"/>
    <w:rsid w:val="007B79CC"/>
    <w:rsid w:val="007C100A"/>
    <w:rsid w:val="007C14D7"/>
    <w:rsid w:val="007C1989"/>
    <w:rsid w:val="007C3233"/>
    <w:rsid w:val="007C45F7"/>
    <w:rsid w:val="007C4DD4"/>
    <w:rsid w:val="007C4F83"/>
    <w:rsid w:val="007C6D28"/>
    <w:rsid w:val="007D54B0"/>
    <w:rsid w:val="007D77D8"/>
    <w:rsid w:val="007E4D62"/>
    <w:rsid w:val="007E654C"/>
    <w:rsid w:val="007F0C3B"/>
    <w:rsid w:val="0080101E"/>
    <w:rsid w:val="008060CB"/>
    <w:rsid w:val="008134D7"/>
    <w:rsid w:val="00816354"/>
    <w:rsid w:val="00820041"/>
    <w:rsid w:val="0082158D"/>
    <w:rsid w:val="0082224F"/>
    <w:rsid w:val="00822B36"/>
    <w:rsid w:val="008230D9"/>
    <w:rsid w:val="008274E1"/>
    <w:rsid w:val="008305BC"/>
    <w:rsid w:val="00833516"/>
    <w:rsid w:val="00833857"/>
    <w:rsid w:val="00834545"/>
    <w:rsid w:val="00835FBA"/>
    <w:rsid w:val="00836692"/>
    <w:rsid w:val="00846628"/>
    <w:rsid w:val="00851D97"/>
    <w:rsid w:val="008554E6"/>
    <w:rsid w:val="00855FD1"/>
    <w:rsid w:val="00856E7A"/>
    <w:rsid w:val="008638AD"/>
    <w:rsid w:val="00866FDD"/>
    <w:rsid w:val="008724E7"/>
    <w:rsid w:val="0088079E"/>
    <w:rsid w:val="00881B13"/>
    <w:rsid w:val="008841E4"/>
    <w:rsid w:val="00886A96"/>
    <w:rsid w:val="00887FC4"/>
    <w:rsid w:val="00893959"/>
    <w:rsid w:val="00893ACE"/>
    <w:rsid w:val="00897BDA"/>
    <w:rsid w:val="00897DE5"/>
    <w:rsid w:val="008A1FB7"/>
    <w:rsid w:val="008A2209"/>
    <w:rsid w:val="008A37D3"/>
    <w:rsid w:val="008A4B2F"/>
    <w:rsid w:val="008A6487"/>
    <w:rsid w:val="008A6B55"/>
    <w:rsid w:val="008A6C0B"/>
    <w:rsid w:val="008B11B8"/>
    <w:rsid w:val="008B1EDB"/>
    <w:rsid w:val="008B6837"/>
    <w:rsid w:val="008C1D74"/>
    <w:rsid w:val="008C7512"/>
    <w:rsid w:val="008D2E45"/>
    <w:rsid w:val="008D395C"/>
    <w:rsid w:val="008D4B50"/>
    <w:rsid w:val="008D5F73"/>
    <w:rsid w:val="008D7D0E"/>
    <w:rsid w:val="008E1241"/>
    <w:rsid w:val="00900F44"/>
    <w:rsid w:val="0090200E"/>
    <w:rsid w:val="009035D6"/>
    <w:rsid w:val="00903A5B"/>
    <w:rsid w:val="009049F5"/>
    <w:rsid w:val="00905461"/>
    <w:rsid w:val="009075A1"/>
    <w:rsid w:val="009077F0"/>
    <w:rsid w:val="00912D22"/>
    <w:rsid w:val="00914CC0"/>
    <w:rsid w:val="00916A98"/>
    <w:rsid w:val="00916E49"/>
    <w:rsid w:val="00917B43"/>
    <w:rsid w:val="00921F62"/>
    <w:rsid w:val="00923FCE"/>
    <w:rsid w:val="00924BA4"/>
    <w:rsid w:val="00927104"/>
    <w:rsid w:val="00932D74"/>
    <w:rsid w:val="009377FF"/>
    <w:rsid w:val="009412C7"/>
    <w:rsid w:val="00943B28"/>
    <w:rsid w:val="00943D69"/>
    <w:rsid w:val="009452E6"/>
    <w:rsid w:val="00945DB9"/>
    <w:rsid w:val="00946546"/>
    <w:rsid w:val="00952CCD"/>
    <w:rsid w:val="00952D98"/>
    <w:rsid w:val="00953B92"/>
    <w:rsid w:val="00960BB8"/>
    <w:rsid w:val="009620CC"/>
    <w:rsid w:val="00964168"/>
    <w:rsid w:val="0096555F"/>
    <w:rsid w:val="00967B0C"/>
    <w:rsid w:val="00970B55"/>
    <w:rsid w:val="00971469"/>
    <w:rsid w:val="009774DC"/>
    <w:rsid w:val="00980F5E"/>
    <w:rsid w:val="00981020"/>
    <w:rsid w:val="00981AF2"/>
    <w:rsid w:val="00981B5A"/>
    <w:rsid w:val="00983180"/>
    <w:rsid w:val="00984A05"/>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48BA"/>
    <w:rsid w:val="009D0D86"/>
    <w:rsid w:val="009D14F2"/>
    <w:rsid w:val="009D2D8F"/>
    <w:rsid w:val="009E0DDF"/>
    <w:rsid w:val="009E28E1"/>
    <w:rsid w:val="009E3CF1"/>
    <w:rsid w:val="009E5A5B"/>
    <w:rsid w:val="009E5BA8"/>
    <w:rsid w:val="009F0BF8"/>
    <w:rsid w:val="009F0D7E"/>
    <w:rsid w:val="009F0DF6"/>
    <w:rsid w:val="009F622C"/>
    <w:rsid w:val="00A049B8"/>
    <w:rsid w:val="00A07192"/>
    <w:rsid w:val="00A076F6"/>
    <w:rsid w:val="00A07794"/>
    <w:rsid w:val="00A119FC"/>
    <w:rsid w:val="00A11D7A"/>
    <w:rsid w:val="00A127E4"/>
    <w:rsid w:val="00A17E92"/>
    <w:rsid w:val="00A2248C"/>
    <w:rsid w:val="00A22EBA"/>
    <w:rsid w:val="00A32BD5"/>
    <w:rsid w:val="00A357EC"/>
    <w:rsid w:val="00A368DD"/>
    <w:rsid w:val="00A42013"/>
    <w:rsid w:val="00A42B13"/>
    <w:rsid w:val="00A5081C"/>
    <w:rsid w:val="00A54448"/>
    <w:rsid w:val="00A55474"/>
    <w:rsid w:val="00A572AC"/>
    <w:rsid w:val="00A57707"/>
    <w:rsid w:val="00A60263"/>
    <w:rsid w:val="00A60C86"/>
    <w:rsid w:val="00A61422"/>
    <w:rsid w:val="00A616B8"/>
    <w:rsid w:val="00A62DC7"/>
    <w:rsid w:val="00A63010"/>
    <w:rsid w:val="00A636FC"/>
    <w:rsid w:val="00A67309"/>
    <w:rsid w:val="00A7011E"/>
    <w:rsid w:val="00A745B5"/>
    <w:rsid w:val="00A74D87"/>
    <w:rsid w:val="00A753AA"/>
    <w:rsid w:val="00A764FE"/>
    <w:rsid w:val="00A7793E"/>
    <w:rsid w:val="00A863F0"/>
    <w:rsid w:val="00A86918"/>
    <w:rsid w:val="00A968C5"/>
    <w:rsid w:val="00A979F9"/>
    <w:rsid w:val="00AA15E5"/>
    <w:rsid w:val="00AA242B"/>
    <w:rsid w:val="00AA416C"/>
    <w:rsid w:val="00AA5A5A"/>
    <w:rsid w:val="00AA7D45"/>
    <w:rsid w:val="00AB1248"/>
    <w:rsid w:val="00AB22F0"/>
    <w:rsid w:val="00AB3EA2"/>
    <w:rsid w:val="00AC1425"/>
    <w:rsid w:val="00AC36E9"/>
    <w:rsid w:val="00AC3807"/>
    <w:rsid w:val="00AC60EC"/>
    <w:rsid w:val="00AC70FE"/>
    <w:rsid w:val="00AD638A"/>
    <w:rsid w:val="00AD7FE0"/>
    <w:rsid w:val="00AE17F5"/>
    <w:rsid w:val="00AE3469"/>
    <w:rsid w:val="00AE527F"/>
    <w:rsid w:val="00AF0FC5"/>
    <w:rsid w:val="00AF4DE8"/>
    <w:rsid w:val="00B020BC"/>
    <w:rsid w:val="00B02198"/>
    <w:rsid w:val="00B031B8"/>
    <w:rsid w:val="00B071E6"/>
    <w:rsid w:val="00B13E60"/>
    <w:rsid w:val="00B16689"/>
    <w:rsid w:val="00B2223E"/>
    <w:rsid w:val="00B23CF3"/>
    <w:rsid w:val="00B27011"/>
    <w:rsid w:val="00B33546"/>
    <w:rsid w:val="00B35D96"/>
    <w:rsid w:val="00B35F8E"/>
    <w:rsid w:val="00B3609D"/>
    <w:rsid w:val="00B36B9D"/>
    <w:rsid w:val="00B37D75"/>
    <w:rsid w:val="00B45261"/>
    <w:rsid w:val="00B51A9E"/>
    <w:rsid w:val="00B52B9C"/>
    <w:rsid w:val="00B53A65"/>
    <w:rsid w:val="00B644CC"/>
    <w:rsid w:val="00B67C00"/>
    <w:rsid w:val="00B71B53"/>
    <w:rsid w:val="00B81A15"/>
    <w:rsid w:val="00B8245C"/>
    <w:rsid w:val="00B83A11"/>
    <w:rsid w:val="00B861E5"/>
    <w:rsid w:val="00B90319"/>
    <w:rsid w:val="00B92788"/>
    <w:rsid w:val="00BA0BE4"/>
    <w:rsid w:val="00BA287E"/>
    <w:rsid w:val="00BA436F"/>
    <w:rsid w:val="00BA548D"/>
    <w:rsid w:val="00BA631D"/>
    <w:rsid w:val="00BB24CA"/>
    <w:rsid w:val="00BB2521"/>
    <w:rsid w:val="00BB3ABC"/>
    <w:rsid w:val="00BB63CC"/>
    <w:rsid w:val="00BC673D"/>
    <w:rsid w:val="00BC6947"/>
    <w:rsid w:val="00BC6FD2"/>
    <w:rsid w:val="00BE2C77"/>
    <w:rsid w:val="00BE3C52"/>
    <w:rsid w:val="00BE49B2"/>
    <w:rsid w:val="00BF1E3C"/>
    <w:rsid w:val="00BF6333"/>
    <w:rsid w:val="00C005F0"/>
    <w:rsid w:val="00C00DB6"/>
    <w:rsid w:val="00C06DC6"/>
    <w:rsid w:val="00C136D7"/>
    <w:rsid w:val="00C15A04"/>
    <w:rsid w:val="00C207D1"/>
    <w:rsid w:val="00C20E61"/>
    <w:rsid w:val="00C21CE2"/>
    <w:rsid w:val="00C337A3"/>
    <w:rsid w:val="00C44DDE"/>
    <w:rsid w:val="00C452F2"/>
    <w:rsid w:val="00C478C1"/>
    <w:rsid w:val="00C5171D"/>
    <w:rsid w:val="00C52590"/>
    <w:rsid w:val="00C53226"/>
    <w:rsid w:val="00C54FA8"/>
    <w:rsid w:val="00C5503B"/>
    <w:rsid w:val="00C61454"/>
    <w:rsid w:val="00C631F6"/>
    <w:rsid w:val="00C6569C"/>
    <w:rsid w:val="00C65C2C"/>
    <w:rsid w:val="00C70089"/>
    <w:rsid w:val="00C7349B"/>
    <w:rsid w:val="00C73BD0"/>
    <w:rsid w:val="00C7483A"/>
    <w:rsid w:val="00C75005"/>
    <w:rsid w:val="00C764C9"/>
    <w:rsid w:val="00C76760"/>
    <w:rsid w:val="00C76B2D"/>
    <w:rsid w:val="00C812DC"/>
    <w:rsid w:val="00C84526"/>
    <w:rsid w:val="00C84C71"/>
    <w:rsid w:val="00C84FA4"/>
    <w:rsid w:val="00C93D9F"/>
    <w:rsid w:val="00C948DA"/>
    <w:rsid w:val="00CA0F51"/>
    <w:rsid w:val="00CA2B30"/>
    <w:rsid w:val="00CA4043"/>
    <w:rsid w:val="00CA4691"/>
    <w:rsid w:val="00CA61E4"/>
    <w:rsid w:val="00CB0C21"/>
    <w:rsid w:val="00CB1D40"/>
    <w:rsid w:val="00CB2929"/>
    <w:rsid w:val="00CB7262"/>
    <w:rsid w:val="00CB75DF"/>
    <w:rsid w:val="00CD203A"/>
    <w:rsid w:val="00CD4C75"/>
    <w:rsid w:val="00CE0D34"/>
    <w:rsid w:val="00CE1C5D"/>
    <w:rsid w:val="00CE3C8B"/>
    <w:rsid w:val="00CE43D6"/>
    <w:rsid w:val="00CE4E8F"/>
    <w:rsid w:val="00CE7658"/>
    <w:rsid w:val="00CE7A36"/>
    <w:rsid w:val="00CF298F"/>
    <w:rsid w:val="00CF2A0C"/>
    <w:rsid w:val="00CF615E"/>
    <w:rsid w:val="00CF66B6"/>
    <w:rsid w:val="00D00981"/>
    <w:rsid w:val="00D00C0F"/>
    <w:rsid w:val="00D0119E"/>
    <w:rsid w:val="00D043BF"/>
    <w:rsid w:val="00D06DD3"/>
    <w:rsid w:val="00D11127"/>
    <w:rsid w:val="00D1215A"/>
    <w:rsid w:val="00D13DA2"/>
    <w:rsid w:val="00D14778"/>
    <w:rsid w:val="00D17B66"/>
    <w:rsid w:val="00D2441C"/>
    <w:rsid w:val="00D27075"/>
    <w:rsid w:val="00D274A6"/>
    <w:rsid w:val="00D35AB3"/>
    <w:rsid w:val="00D445E9"/>
    <w:rsid w:val="00D44D51"/>
    <w:rsid w:val="00D469C5"/>
    <w:rsid w:val="00D47E28"/>
    <w:rsid w:val="00D51A8B"/>
    <w:rsid w:val="00D52304"/>
    <w:rsid w:val="00D528C2"/>
    <w:rsid w:val="00D52B62"/>
    <w:rsid w:val="00D640B1"/>
    <w:rsid w:val="00D67340"/>
    <w:rsid w:val="00D7062F"/>
    <w:rsid w:val="00D73A0E"/>
    <w:rsid w:val="00D7672A"/>
    <w:rsid w:val="00D82457"/>
    <w:rsid w:val="00D83D11"/>
    <w:rsid w:val="00D84F56"/>
    <w:rsid w:val="00D850A0"/>
    <w:rsid w:val="00D87B3C"/>
    <w:rsid w:val="00D90951"/>
    <w:rsid w:val="00D95E54"/>
    <w:rsid w:val="00D96A1A"/>
    <w:rsid w:val="00D97A93"/>
    <w:rsid w:val="00DA2D5D"/>
    <w:rsid w:val="00DA4B30"/>
    <w:rsid w:val="00DA504E"/>
    <w:rsid w:val="00DB29E0"/>
    <w:rsid w:val="00DB54BC"/>
    <w:rsid w:val="00DB5B3F"/>
    <w:rsid w:val="00DB6603"/>
    <w:rsid w:val="00DB79BF"/>
    <w:rsid w:val="00DC038F"/>
    <w:rsid w:val="00DC1F08"/>
    <w:rsid w:val="00DC27C2"/>
    <w:rsid w:val="00DC47F1"/>
    <w:rsid w:val="00DD2255"/>
    <w:rsid w:val="00DD5194"/>
    <w:rsid w:val="00DD6C7D"/>
    <w:rsid w:val="00DD790E"/>
    <w:rsid w:val="00DD7C8B"/>
    <w:rsid w:val="00DD7FAF"/>
    <w:rsid w:val="00DE1EE3"/>
    <w:rsid w:val="00DE2996"/>
    <w:rsid w:val="00DE2C31"/>
    <w:rsid w:val="00DE54EB"/>
    <w:rsid w:val="00DF3880"/>
    <w:rsid w:val="00DF50C6"/>
    <w:rsid w:val="00DF5CF5"/>
    <w:rsid w:val="00DF6AE3"/>
    <w:rsid w:val="00E018F2"/>
    <w:rsid w:val="00E02D59"/>
    <w:rsid w:val="00E03618"/>
    <w:rsid w:val="00E051EF"/>
    <w:rsid w:val="00E05525"/>
    <w:rsid w:val="00E0589E"/>
    <w:rsid w:val="00E07370"/>
    <w:rsid w:val="00E2028B"/>
    <w:rsid w:val="00E20FBB"/>
    <w:rsid w:val="00E21990"/>
    <w:rsid w:val="00E27097"/>
    <w:rsid w:val="00E31D14"/>
    <w:rsid w:val="00E4242B"/>
    <w:rsid w:val="00E47209"/>
    <w:rsid w:val="00E477B3"/>
    <w:rsid w:val="00E47F96"/>
    <w:rsid w:val="00E530F8"/>
    <w:rsid w:val="00E5651D"/>
    <w:rsid w:val="00E61DB5"/>
    <w:rsid w:val="00E71AE0"/>
    <w:rsid w:val="00E74B42"/>
    <w:rsid w:val="00E74EAA"/>
    <w:rsid w:val="00E764E2"/>
    <w:rsid w:val="00E76E73"/>
    <w:rsid w:val="00E803EF"/>
    <w:rsid w:val="00E81BF2"/>
    <w:rsid w:val="00E81D6D"/>
    <w:rsid w:val="00E834EB"/>
    <w:rsid w:val="00E845ED"/>
    <w:rsid w:val="00E84DCE"/>
    <w:rsid w:val="00E9131A"/>
    <w:rsid w:val="00E929D5"/>
    <w:rsid w:val="00E94AE9"/>
    <w:rsid w:val="00E94B63"/>
    <w:rsid w:val="00E96F3B"/>
    <w:rsid w:val="00E97509"/>
    <w:rsid w:val="00EA0D2B"/>
    <w:rsid w:val="00EA1D63"/>
    <w:rsid w:val="00EA3364"/>
    <w:rsid w:val="00EA41FB"/>
    <w:rsid w:val="00EA45CC"/>
    <w:rsid w:val="00EA4FD7"/>
    <w:rsid w:val="00EB368F"/>
    <w:rsid w:val="00EB50E2"/>
    <w:rsid w:val="00EB6484"/>
    <w:rsid w:val="00EB7B61"/>
    <w:rsid w:val="00EC02B9"/>
    <w:rsid w:val="00EC06AE"/>
    <w:rsid w:val="00EC0FFF"/>
    <w:rsid w:val="00EC5B36"/>
    <w:rsid w:val="00EC6AD9"/>
    <w:rsid w:val="00EC791B"/>
    <w:rsid w:val="00ED05A7"/>
    <w:rsid w:val="00ED086D"/>
    <w:rsid w:val="00ED192A"/>
    <w:rsid w:val="00ED39D6"/>
    <w:rsid w:val="00ED7FE9"/>
    <w:rsid w:val="00EE05AF"/>
    <w:rsid w:val="00EE3AA4"/>
    <w:rsid w:val="00EF2507"/>
    <w:rsid w:val="00EF6EFF"/>
    <w:rsid w:val="00F03015"/>
    <w:rsid w:val="00F03BC0"/>
    <w:rsid w:val="00F04523"/>
    <w:rsid w:val="00F051D9"/>
    <w:rsid w:val="00F12C89"/>
    <w:rsid w:val="00F15ABA"/>
    <w:rsid w:val="00F16590"/>
    <w:rsid w:val="00F177CA"/>
    <w:rsid w:val="00F2205B"/>
    <w:rsid w:val="00F22FAC"/>
    <w:rsid w:val="00F257E7"/>
    <w:rsid w:val="00F2597C"/>
    <w:rsid w:val="00F27D99"/>
    <w:rsid w:val="00F3088F"/>
    <w:rsid w:val="00F32D03"/>
    <w:rsid w:val="00F35198"/>
    <w:rsid w:val="00F37534"/>
    <w:rsid w:val="00F40C03"/>
    <w:rsid w:val="00F416CF"/>
    <w:rsid w:val="00F45CE5"/>
    <w:rsid w:val="00F52A47"/>
    <w:rsid w:val="00F52D54"/>
    <w:rsid w:val="00F57C3F"/>
    <w:rsid w:val="00F62144"/>
    <w:rsid w:val="00F64514"/>
    <w:rsid w:val="00F64C75"/>
    <w:rsid w:val="00F67EF8"/>
    <w:rsid w:val="00F7385C"/>
    <w:rsid w:val="00F740A9"/>
    <w:rsid w:val="00F75D78"/>
    <w:rsid w:val="00F7635B"/>
    <w:rsid w:val="00F81A6B"/>
    <w:rsid w:val="00F83624"/>
    <w:rsid w:val="00F83C60"/>
    <w:rsid w:val="00F84492"/>
    <w:rsid w:val="00F84C47"/>
    <w:rsid w:val="00F91402"/>
    <w:rsid w:val="00F92BE3"/>
    <w:rsid w:val="00F961CD"/>
    <w:rsid w:val="00FA79DF"/>
    <w:rsid w:val="00FB0B62"/>
    <w:rsid w:val="00FB12A1"/>
    <w:rsid w:val="00FB4036"/>
    <w:rsid w:val="00FB594F"/>
    <w:rsid w:val="00FB5A4B"/>
    <w:rsid w:val="00FC4F73"/>
    <w:rsid w:val="00FC58E1"/>
    <w:rsid w:val="00FC6C9D"/>
    <w:rsid w:val="00FC7C60"/>
    <w:rsid w:val="00FD4107"/>
    <w:rsid w:val="00FD70F6"/>
    <w:rsid w:val="00FD7ADA"/>
    <w:rsid w:val="00FE3A6A"/>
    <w:rsid w:val="00FE508E"/>
    <w:rsid w:val="00FE5C6A"/>
    <w:rsid w:val="00FE6322"/>
    <w:rsid w:val="00FE7CF8"/>
    <w:rsid w:val="00FF20E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1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43"/>
    <w:pPr>
      <w:spacing w:after="240"/>
      <w:jc w:val="both"/>
    </w:pPr>
    <w:rPr>
      <w:sz w:val="24"/>
      <w:szCs w:val="24"/>
      <w:lang w:eastAsia="en-US"/>
    </w:rPr>
  </w:style>
  <w:style w:type="paragraph" w:styleId="Heading1">
    <w:name w:val="heading 1"/>
    <w:basedOn w:val="Normal"/>
    <w:next w:val="ListNumber1"/>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qFormat/>
    <w:rsid w:val="00587966"/>
    <w:pPr>
      <w:keepNext/>
      <w:keepLines/>
      <w:numPr>
        <w:ilvl w:val="2"/>
        <w:numId w:val="1"/>
      </w:numPr>
      <w:spacing w:before="120"/>
      <w:outlineLvl w:val="2"/>
    </w:pPr>
    <w:rPr>
      <w:lang w:val="es-ES"/>
    </w:rPr>
  </w:style>
  <w:style w:type="paragraph" w:styleId="Heading4">
    <w:name w:val="heading 4"/>
    <w:basedOn w:val="Normal"/>
    <w:next w:val="Normal"/>
    <w:qFormat/>
    <w:rsid w:val="004B154E"/>
    <w:pPr>
      <w:outlineLvl w:val="3"/>
    </w:pPr>
  </w:style>
  <w:style w:type="paragraph" w:styleId="Heading5">
    <w:name w:val="heading 5"/>
    <w:basedOn w:val="Heading4"/>
    <w:next w:val="Normal"/>
    <w:qFormat/>
    <w:rsid w:val="00F52A47"/>
    <w:pPr>
      <w:outlineLvl w:val="4"/>
    </w:pPr>
    <w:rPr>
      <w:lang w:val="es-ES"/>
    </w:rPr>
  </w:style>
  <w:style w:type="paragraph" w:styleId="Heading6">
    <w:name w:val="heading 6"/>
    <w:basedOn w:val="Normal"/>
    <w:next w:val="Normal"/>
    <w:qFormat/>
    <w:rsid w:val="00F52A47"/>
    <w:pPr>
      <w:outlineLvl w:val="5"/>
    </w:pPr>
    <w:rPr>
      <w:lang w:val="es-ES"/>
    </w:rPr>
  </w:style>
  <w:style w:type="paragraph" w:styleId="Heading7">
    <w:name w:val="heading 7"/>
    <w:basedOn w:val="Normal"/>
    <w:next w:val="Normal"/>
    <w:qFormat/>
    <w:rsid w:val="00374CB6"/>
    <w:pPr>
      <w:jc w:val="left"/>
      <w:outlineLvl w:val="6"/>
    </w:pPr>
    <w:rPr>
      <w:lang w:val="es-ES"/>
    </w:rPr>
  </w:style>
  <w:style w:type="paragraph" w:styleId="Heading8">
    <w:name w:val="heading 8"/>
    <w:basedOn w:val="Normal"/>
    <w:next w:val="Normal"/>
    <w:qFormat/>
    <w:rsid w:val="00F52A47"/>
    <w:pPr>
      <w:outlineLvl w:val="7"/>
    </w:pPr>
    <w:rPr>
      <w:lang w:val="es-ES"/>
    </w:rPr>
  </w:style>
  <w:style w:type="paragraph" w:styleId="Heading9">
    <w:name w:val="heading 9"/>
    <w:basedOn w:val="Normal"/>
    <w:next w:val="Normal"/>
    <w:qFormat/>
    <w:rsid w:val="00F52A47"/>
    <w:p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rsid w:val="006C5C14"/>
    <w:pPr>
      <w:ind w:left="567"/>
    </w:pPr>
  </w:style>
  <w:style w:type="paragraph" w:styleId="ListNumber2">
    <w:name w:val="List Number 2"/>
    <w:basedOn w:val="Normal"/>
    <w:rsid w:val="006C5C14"/>
    <w:pPr>
      <w:ind w:left="567"/>
    </w:pPr>
  </w:style>
  <w:style w:type="paragraph" w:styleId="ListNumber3">
    <w:name w:val="List Number 3"/>
    <w:basedOn w:val="ListNumber2"/>
    <w:rsid w:val="006C5C14"/>
    <w:pPr>
      <w:ind w:left="709"/>
    </w:pPr>
  </w:style>
  <w:style w:type="character" w:styleId="PageNumber">
    <w:name w:val="page number"/>
    <w:basedOn w:val="DefaultParagraphFont"/>
    <w:semiHidden/>
    <w:rsid w:val="006C5C14"/>
  </w:style>
  <w:style w:type="paragraph" w:customStyle="1" w:styleId="Ttulo1">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O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rsid w:val="00587966"/>
    <w:pPr>
      <w:tabs>
        <w:tab w:val="left" w:pos="709"/>
        <w:tab w:val="right" w:pos="8494"/>
      </w:tabs>
      <w:ind w:left="709" w:right="851" w:hanging="709"/>
    </w:pPr>
  </w:style>
  <w:style w:type="paragraph" w:styleId="TOC4">
    <w:name w:val="toc 4"/>
    <w:basedOn w:val="Normal"/>
    <w:next w:val="Normal"/>
    <w:autoRedefine/>
    <w:semiHidden/>
    <w:pPr>
      <w:tabs>
        <w:tab w:val="right" w:pos="8494"/>
      </w:tabs>
      <w:spacing w:before="120" w:after="0"/>
      <w:ind w:left="1418" w:right="851" w:hanging="709"/>
      <w:jc w:val="left"/>
    </w:pPr>
    <w:rPr>
      <w:noProof/>
    </w:rPr>
  </w:style>
  <w:style w:type="paragraph" w:styleId="TOC5">
    <w:name w:val="toc 5"/>
    <w:basedOn w:val="Normal"/>
    <w:next w:val="Normal"/>
    <w:autoRedefine/>
    <w:semiHidden/>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rsid w:val="00AA5A5A"/>
    <w:pPr>
      <w:spacing w:after="120"/>
    </w:pPr>
    <w:rPr>
      <w:sz w:val="20"/>
    </w:rPr>
  </w:style>
  <w:style w:type="character" w:styleId="FootnoteReference">
    <w:name w:val="footnote reference"/>
    <w:aliases w:val="4_G"/>
    <w:rsid w:val="00A07794"/>
    <w:rPr>
      <w:rFonts w:ascii="Times New Roman" w:hAnsi="Times New Roman"/>
      <w:sz w:val="20"/>
      <w:vertAlign w:val="superscript"/>
    </w:rPr>
  </w:style>
  <w:style w:type="character" w:styleId="Hyperlink">
    <w:name w:val="Hyperlink"/>
    <w:uiPriority w:val="99"/>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Footer">
    <w:name w:val="footer"/>
    <w:basedOn w:val="Normal"/>
    <w:rsid w:val="00AE3469"/>
    <w:pPr>
      <w:jc w:val="center"/>
    </w:pPr>
    <w:rPr>
      <w:sz w:val="20"/>
      <w:szCs w:val="20"/>
    </w:rPr>
  </w:style>
  <w:style w:type="table" w:styleId="TableGrid">
    <w:name w:val="Table Grid"/>
    <w:basedOn w:val="TableNormal"/>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rsid w:val="00EA45CC"/>
    <w:pPr>
      <w:spacing w:after="120"/>
      <w:ind w:left="1440" w:right="1440"/>
    </w:pPr>
  </w:style>
  <w:style w:type="paragraph" w:styleId="BodyText">
    <w:name w:val="Body Text"/>
    <w:basedOn w:val="Normal"/>
    <w:semiHidden/>
    <w:rsid w:val="00EA45CC"/>
    <w:pPr>
      <w:spacing w:after="120"/>
    </w:pPr>
  </w:style>
  <w:style w:type="paragraph" w:styleId="BodyText2">
    <w:name w:val="Body Text 2"/>
    <w:basedOn w:val="Normal"/>
    <w:semiHidden/>
    <w:rsid w:val="00EA45CC"/>
    <w:pPr>
      <w:spacing w:after="120" w:line="480" w:lineRule="auto"/>
    </w:pPr>
  </w:style>
  <w:style w:type="paragraph" w:styleId="BodyText3">
    <w:name w:val="Body Text 3"/>
    <w:basedOn w:val="Normal"/>
    <w:semiHidden/>
    <w:rsid w:val="00EA45CC"/>
    <w:pPr>
      <w:spacing w:after="120"/>
    </w:pPr>
    <w:rPr>
      <w:sz w:val="16"/>
      <w:szCs w:val="16"/>
    </w:rPr>
  </w:style>
  <w:style w:type="paragraph" w:styleId="BodyTextFirstIndent">
    <w:name w:val="Body Text First Indent"/>
    <w:basedOn w:val="BodyText"/>
    <w:semiHidden/>
    <w:rsid w:val="00EA45CC"/>
    <w:pPr>
      <w:ind w:firstLine="210"/>
    </w:pPr>
  </w:style>
  <w:style w:type="paragraph" w:styleId="BodyTextIndent">
    <w:name w:val="Body Text Indent"/>
    <w:basedOn w:val="Normal"/>
    <w:semiHidden/>
    <w:rsid w:val="00EA45CC"/>
    <w:pPr>
      <w:spacing w:after="120"/>
      <w:ind w:left="283"/>
    </w:pPr>
  </w:style>
  <w:style w:type="paragraph" w:styleId="BodyTextFirstIndent2">
    <w:name w:val="Body Text First Indent 2"/>
    <w:basedOn w:val="BodyTextIndent"/>
    <w:semiHidden/>
    <w:rsid w:val="00EA45CC"/>
    <w:pPr>
      <w:ind w:firstLine="210"/>
    </w:pPr>
  </w:style>
  <w:style w:type="paragraph" w:styleId="BodyTextIndent2">
    <w:name w:val="Body Text Indent 2"/>
    <w:basedOn w:val="Normal"/>
    <w:semiHidden/>
    <w:rsid w:val="00EA45CC"/>
    <w:pPr>
      <w:spacing w:after="120" w:line="480" w:lineRule="auto"/>
      <w:ind w:left="283"/>
    </w:pPr>
  </w:style>
  <w:style w:type="paragraph" w:styleId="BodyTextIndent3">
    <w:name w:val="Body Text Indent 3"/>
    <w:basedOn w:val="Normal"/>
    <w:semiHidden/>
    <w:rsid w:val="00EA45CC"/>
    <w:pPr>
      <w:spacing w:after="120"/>
      <w:ind w:left="283"/>
    </w:pPr>
    <w:rPr>
      <w:sz w:val="16"/>
      <w:szCs w:val="16"/>
    </w:rPr>
  </w:style>
  <w:style w:type="paragraph" w:styleId="Closing">
    <w:name w:val="Closing"/>
    <w:basedOn w:val="Normal"/>
    <w:semiHidden/>
    <w:rsid w:val="00EA45CC"/>
    <w:pPr>
      <w:ind w:left="4252"/>
    </w:pPr>
  </w:style>
  <w:style w:type="paragraph" w:styleId="Date">
    <w:name w:val="Date"/>
    <w:basedOn w:val="Normal"/>
    <w:next w:val="Normal"/>
    <w:semiHidden/>
    <w:rsid w:val="00EA45CC"/>
  </w:style>
  <w:style w:type="paragraph" w:styleId="E-mailSignature">
    <w:name w:val="E-mail Signature"/>
    <w:basedOn w:val="Normal"/>
    <w:semiHidden/>
    <w:rsid w:val="00EA45CC"/>
  </w:style>
  <w:style w:type="character" w:styleId="Emphasis">
    <w:name w:val="Emphasis"/>
    <w:qFormat/>
    <w:rsid w:val="00EA45CC"/>
    <w:rPr>
      <w:i/>
      <w:iCs/>
    </w:rPr>
  </w:style>
  <w:style w:type="paragraph" w:styleId="EnvelopeAddress">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A45CC"/>
    <w:rPr>
      <w:rFonts w:ascii="Arial" w:hAnsi="Arial" w:cs="Arial"/>
      <w:sz w:val="20"/>
      <w:szCs w:val="20"/>
    </w:rPr>
  </w:style>
  <w:style w:type="character" w:styleId="FollowedHyperlink">
    <w:name w:val="FollowedHyperlink"/>
    <w:semiHidden/>
    <w:rsid w:val="00EA45CC"/>
    <w:rPr>
      <w:color w:val="800080"/>
      <w:u w:val="single"/>
    </w:rPr>
  </w:style>
  <w:style w:type="paragraph" w:styleId="Header">
    <w:name w:val="header"/>
    <w:basedOn w:val="Normal"/>
    <w:semiHidden/>
    <w:rsid w:val="00EA45CC"/>
    <w:pPr>
      <w:tabs>
        <w:tab w:val="center" w:pos="4419"/>
        <w:tab w:val="right" w:pos="8838"/>
      </w:tabs>
    </w:pPr>
  </w:style>
  <w:style w:type="character" w:styleId="HTMLAcronym">
    <w:name w:val="HTML Acronym"/>
    <w:basedOn w:val="DefaultParagraphFont"/>
    <w:semiHidden/>
    <w:rsid w:val="00EA45CC"/>
  </w:style>
  <w:style w:type="paragraph" w:styleId="HTMLAddress">
    <w:name w:val="HTML Address"/>
    <w:basedOn w:val="Normal"/>
    <w:semiHidden/>
    <w:rsid w:val="00EA45CC"/>
    <w:rPr>
      <w:i/>
      <w:iCs/>
    </w:rPr>
  </w:style>
  <w:style w:type="character" w:styleId="HTMLCite">
    <w:name w:val="HTML Cite"/>
    <w:semiHidden/>
    <w:rsid w:val="00EA45CC"/>
    <w:rPr>
      <w:i/>
      <w:iCs/>
    </w:rPr>
  </w:style>
  <w:style w:type="character" w:styleId="HTMLCode">
    <w:name w:val="HTML Code"/>
    <w:semiHidden/>
    <w:rsid w:val="00EA45CC"/>
    <w:rPr>
      <w:rFonts w:ascii="Courier New" w:hAnsi="Courier New" w:cs="Courier New"/>
      <w:sz w:val="20"/>
      <w:szCs w:val="20"/>
    </w:rPr>
  </w:style>
  <w:style w:type="character" w:styleId="HTMLDefinition">
    <w:name w:val="HTML Definition"/>
    <w:semiHidden/>
    <w:rsid w:val="00EA45CC"/>
    <w:rPr>
      <w:i/>
      <w:iCs/>
    </w:rPr>
  </w:style>
  <w:style w:type="character" w:styleId="HTMLKeyboard">
    <w:name w:val="HTML Keyboard"/>
    <w:semiHidden/>
    <w:rsid w:val="00EA45CC"/>
    <w:rPr>
      <w:rFonts w:ascii="Courier New" w:hAnsi="Courier New" w:cs="Courier New"/>
      <w:sz w:val="20"/>
      <w:szCs w:val="20"/>
    </w:rPr>
  </w:style>
  <w:style w:type="paragraph" w:styleId="HTMLPreformatted">
    <w:name w:val="HTML Preformatted"/>
    <w:basedOn w:val="Normal"/>
    <w:semiHidden/>
    <w:rsid w:val="00EA45CC"/>
    <w:rPr>
      <w:rFonts w:ascii="Courier New" w:hAnsi="Courier New" w:cs="Courier New"/>
      <w:sz w:val="20"/>
      <w:szCs w:val="20"/>
    </w:rPr>
  </w:style>
  <w:style w:type="character" w:styleId="HTMLSample">
    <w:name w:val="HTML Sample"/>
    <w:semiHidden/>
    <w:rsid w:val="00EA45CC"/>
    <w:rPr>
      <w:rFonts w:ascii="Courier New" w:hAnsi="Courier New" w:cs="Courier New"/>
    </w:rPr>
  </w:style>
  <w:style w:type="character" w:styleId="HTMLTypewriter">
    <w:name w:val="HTML Typewriter"/>
    <w:semiHidden/>
    <w:rsid w:val="00EA45CC"/>
    <w:rPr>
      <w:rFonts w:ascii="Courier New" w:hAnsi="Courier New" w:cs="Courier New"/>
      <w:sz w:val="20"/>
      <w:szCs w:val="20"/>
    </w:rPr>
  </w:style>
  <w:style w:type="character" w:styleId="HTMLVariable">
    <w:name w:val="HTML Variable"/>
    <w:semiHidden/>
    <w:rsid w:val="00EA45CC"/>
    <w:rPr>
      <w:i/>
      <w:iCs/>
    </w:rPr>
  </w:style>
  <w:style w:type="character" w:styleId="LineNumber">
    <w:name w:val="line number"/>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rsid w:val="00EA45CC"/>
    <w:pPr>
      <w:numPr>
        <w:numId w:val="11"/>
      </w:numPr>
    </w:pPr>
  </w:style>
  <w:style w:type="paragraph" w:styleId="ListNumber5">
    <w:name w:val="List Number 5"/>
    <w:basedOn w:val="Normal"/>
    <w:semiHidden/>
    <w:rsid w:val="00EA45CC"/>
    <w:pPr>
      <w:numPr>
        <w:numId w:val="12"/>
      </w:numPr>
    </w:pPr>
  </w:style>
  <w:style w:type="paragraph" w:styleId="MessageHeader">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semiHidden/>
    <w:rsid w:val="00EA45CC"/>
  </w:style>
  <w:style w:type="paragraph" w:styleId="PlainText">
    <w:name w:val="Plain Text"/>
    <w:basedOn w:val="Normal"/>
    <w:semiHidden/>
    <w:rsid w:val="00EA45CC"/>
    <w:rPr>
      <w:rFonts w:ascii="Courier New" w:hAnsi="Courier New" w:cs="Courier New"/>
      <w:sz w:val="20"/>
      <w:szCs w:val="20"/>
    </w:rPr>
  </w:style>
  <w:style w:type="paragraph" w:styleId="Salutation">
    <w:name w:val="Salutation"/>
    <w:basedOn w:val="Normal"/>
    <w:next w:val="Normal"/>
    <w:semiHidden/>
    <w:rsid w:val="00EA45CC"/>
  </w:style>
  <w:style w:type="paragraph" w:styleId="Signature">
    <w:name w:val="Signature"/>
    <w:basedOn w:val="Normal"/>
    <w:semiHidden/>
    <w:rsid w:val="00EA45CC"/>
    <w:pPr>
      <w:ind w:left="4252"/>
    </w:pPr>
  </w:style>
  <w:style w:type="character" w:styleId="Strong">
    <w:name w:val="Strong"/>
    <w:qFormat/>
    <w:rsid w:val="00EA45CC"/>
    <w:rPr>
      <w:b/>
      <w:bCs/>
    </w:rPr>
  </w:style>
  <w:style w:type="paragraph" w:styleId="Subtitle">
    <w:name w:val="Subtitle"/>
    <w:basedOn w:val="Normal"/>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ListParagraph">
    <w:name w:val="List Paragraph"/>
    <w:basedOn w:val="Normal"/>
    <w:uiPriority w:val="34"/>
    <w:qFormat/>
    <w:rsid w:val="002760B3"/>
    <w:pPr>
      <w:numPr>
        <w:numId w:val="13"/>
      </w:numPr>
    </w:pPr>
  </w:style>
  <w:style w:type="paragraph" w:styleId="BalloonText">
    <w:name w:val="Balloon Text"/>
    <w:basedOn w:val="Normal"/>
    <w:link w:val="BalloonTextChar"/>
    <w:rsid w:val="00F64C75"/>
    <w:pPr>
      <w:spacing w:after="0"/>
    </w:pPr>
    <w:rPr>
      <w:rFonts w:ascii="Tahoma" w:hAnsi="Tahoma" w:cs="Tahoma"/>
      <w:sz w:val="16"/>
      <w:szCs w:val="16"/>
    </w:rPr>
  </w:style>
  <w:style w:type="character" w:customStyle="1" w:styleId="BalloonTextChar">
    <w:name w:val="Balloon Text Char"/>
    <w:link w:val="BalloonText"/>
    <w:rsid w:val="00F64C75"/>
    <w:rPr>
      <w:rFonts w:ascii="Tahoma" w:hAnsi="Tahoma" w:cs="Tahoma"/>
      <w:sz w:val="16"/>
      <w:szCs w:val="16"/>
      <w:lang w:val="es-ES_tradnl" w:eastAsia="en-US"/>
    </w:rPr>
  </w:style>
  <w:style w:type="numbering" w:customStyle="1" w:styleId="Numbering1">
    <w:name w:val="Numbering1"/>
    <w:basedOn w:val="NoList"/>
    <w:rsid w:val="004E60B9"/>
    <w:pPr>
      <w:numPr>
        <w:numId w:val="14"/>
      </w:numPr>
    </w:pPr>
  </w:style>
  <w:style w:type="numbering" w:customStyle="1" w:styleId="Numbering2">
    <w:name w:val="Numbering2"/>
    <w:basedOn w:val="NoList"/>
    <w:rsid w:val="004E60B9"/>
    <w:pPr>
      <w:numPr>
        <w:numId w:val="15"/>
      </w:numPr>
    </w:pPr>
  </w:style>
  <w:style w:type="paragraph" w:customStyle="1" w:styleId="AIEFootnote">
    <w:name w:val="AIE Footnote"/>
    <w:basedOn w:val="Normal"/>
    <w:next w:val="Normal"/>
    <w:autoRedefine/>
    <w:qFormat/>
    <w:rsid w:val="003079B2"/>
    <w:pPr>
      <w:spacing w:after="0"/>
      <w:jc w:val="left"/>
    </w:pPr>
    <w:rPr>
      <w:rFonts w:ascii="Georgia" w:hAnsi="Georgia"/>
      <w:sz w:val="20"/>
      <w:szCs w:val="20"/>
      <w:lang w:val="en-GB" w:eastAsia="en-GB"/>
    </w:rPr>
  </w:style>
  <w:style w:type="character" w:styleId="CommentReference">
    <w:name w:val="annotation reference"/>
    <w:basedOn w:val="DefaultParagraphFont"/>
    <w:semiHidden/>
    <w:unhideWhenUsed/>
    <w:rsid w:val="00970B55"/>
    <w:rPr>
      <w:sz w:val="16"/>
      <w:szCs w:val="16"/>
    </w:rPr>
  </w:style>
  <w:style w:type="paragraph" w:styleId="CommentText">
    <w:name w:val="annotation text"/>
    <w:basedOn w:val="Normal"/>
    <w:link w:val="CommentTextChar"/>
    <w:semiHidden/>
    <w:unhideWhenUsed/>
    <w:rsid w:val="00970B55"/>
    <w:rPr>
      <w:sz w:val="20"/>
      <w:szCs w:val="20"/>
    </w:rPr>
  </w:style>
  <w:style w:type="character" w:customStyle="1" w:styleId="CommentTextChar">
    <w:name w:val="Comment Text Char"/>
    <w:basedOn w:val="DefaultParagraphFont"/>
    <w:link w:val="CommentText"/>
    <w:semiHidden/>
    <w:rsid w:val="00970B55"/>
    <w:rPr>
      <w:lang w:eastAsia="en-US"/>
    </w:rPr>
  </w:style>
  <w:style w:type="paragraph" w:styleId="CommentSubject">
    <w:name w:val="annotation subject"/>
    <w:basedOn w:val="CommentText"/>
    <w:next w:val="CommentText"/>
    <w:link w:val="CommentSubjectChar"/>
    <w:semiHidden/>
    <w:unhideWhenUsed/>
    <w:rsid w:val="00970B55"/>
    <w:rPr>
      <w:b/>
      <w:bCs/>
    </w:rPr>
  </w:style>
  <w:style w:type="character" w:customStyle="1" w:styleId="CommentSubjectChar">
    <w:name w:val="Comment Subject Char"/>
    <w:basedOn w:val="CommentTextChar"/>
    <w:link w:val="CommentSubject"/>
    <w:semiHidden/>
    <w:rsid w:val="00970B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DBDD-EE22-4B43-A2F4-76B0918B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2019-06-14T10:31:00Z</dcterms:created>
  <dcterms:modified xsi:type="dcterms:W3CDTF">2019-06-14T10:39:00Z</dcterms:modified>
</cp:coreProperties>
</file>