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BE" w:rsidRDefault="00A822BE" w:rsidP="00A822BE">
      <w:pPr>
        <w:jc w:val="both"/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67EFA9" wp14:editId="5E6211FD">
            <wp:simplePos x="0" y="0"/>
            <wp:positionH relativeFrom="column">
              <wp:posOffset>4667250</wp:posOffset>
            </wp:positionH>
            <wp:positionV relativeFrom="topMargin">
              <wp:posOffset>470535</wp:posOffset>
            </wp:positionV>
            <wp:extent cx="1371600" cy="10728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cess-info_logo_new_2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389" w:rsidRPr="00A822BE" w:rsidRDefault="00A822BE" w:rsidP="00A822BE">
      <w:pPr>
        <w:jc w:val="both"/>
        <w:rPr>
          <w:lang w:val="es-ES"/>
        </w:rPr>
      </w:pPr>
      <w:r w:rsidRPr="00A206DC">
        <w:rPr>
          <w:lang w:val="es-ES"/>
        </w:rPr>
        <w:t xml:space="preserve">En sus esfuerzos por defender y promocionar el derecho de acceso a la información y la transparencia como elementos esenciales de una fuerte democracia, </w:t>
      </w:r>
      <w:r w:rsidR="00C32744" w:rsidRPr="00A206DC">
        <w:rPr>
          <w:b/>
          <w:color w:val="E3230E"/>
          <w:lang w:val="es-ES"/>
        </w:rPr>
        <w:t>Access Info Europe</w:t>
      </w:r>
      <w:r w:rsidRPr="00A206DC">
        <w:rPr>
          <w:lang w:val="es-ES"/>
        </w:rPr>
        <w:t xml:space="preserve"> ha elaborado una serie de recomendaciones para el nuevo gobierno de coalición en España, en base a los compromisos que las fuerzas políticas han adoptad</w:t>
      </w:r>
      <w:r w:rsidR="00125935">
        <w:rPr>
          <w:lang w:val="es-ES"/>
        </w:rPr>
        <w:t>o en materia de transparencia y mejoras democráticas</w:t>
      </w:r>
      <w:bookmarkStart w:id="0" w:name="_GoBack"/>
      <w:bookmarkEnd w:id="0"/>
      <w:r w:rsidRPr="00A206DC">
        <w:rPr>
          <w:lang w:val="es-ES"/>
        </w:rPr>
        <w:t>.</w:t>
      </w:r>
      <w:r>
        <w:rPr>
          <w:lang w:val="es-ES"/>
        </w:rPr>
        <w:t xml:space="preserve"> </w:t>
      </w:r>
      <w:r w:rsidR="00C32744" w:rsidRPr="00A822BE">
        <w:rPr>
          <w:lang w:val="es-ES"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5049"/>
      </w:tblGrid>
      <w:tr w:rsidR="00CB7D69" w:rsidRPr="00C879DB" w:rsidTr="00A822BE">
        <w:tc>
          <w:tcPr>
            <w:tcW w:w="5016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jc w:val="center"/>
              <w:rPr>
                <w:lang w:val="es-ES"/>
              </w:rPr>
            </w:pPr>
            <w:r w:rsidRPr="00C879DB">
              <w:rPr>
                <w:b/>
                <w:color w:val="2E74B5"/>
                <w:lang w:val="es-ES"/>
              </w:rPr>
              <w:t>Compromisos preacuerdo PSOE-UP</w:t>
            </w:r>
          </w:p>
        </w:tc>
        <w:tc>
          <w:tcPr>
            <w:tcW w:w="5049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jc w:val="center"/>
              <w:rPr>
                <w:lang w:val="es-ES"/>
              </w:rPr>
            </w:pPr>
            <w:r>
              <w:rPr>
                <w:b/>
                <w:color w:val="2E74B5"/>
                <w:lang w:val="es-ES"/>
              </w:rPr>
              <w:t>Recomendaciones</w:t>
            </w:r>
            <w:r w:rsidRPr="00C879DB">
              <w:rPr>
                <w:b/>
                <w:color w:val="2E74B5"/>
                <w:lang w:val="es-ES"/>
              </w:rPr>
              <w:t xml:space="preserve"> </w:t>
            </w:r>
            <w:r w:rsidR="00C32744">
              <w:rPr>
                <w:b/>
                <w:color w:val="2E74B5"/>
                <w:lang w:val="es-ES"/>
              </w:rPr>
              <w:t xml:space="preserve">de </w:t>
            </w:r>
            <w:r>
              <w:rPr>
                <w:b/>
                <w:color w:val="2E74B5"/>
                <w:lang w:val="es-ES"/>
              </w:rPr>
              <w:t xml:space="preserve">Access Info 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062BFC" w:rsidRDefault="00A822BE" w:rsidP="00A822BE">
            <w:pPr>
              <w:spacing w:before="120" w:after="120"/>
              <w:rPr>
                <w:sz w:val="20"/>
                <w:szCs w:val="20"/>
                <w:lang w:val="es-ES"/>
              </w:rPr>
            </w:pPr>
            <w:r w:rsidRPr="00BE4B34">
              <w:rPr>
                <w:sz w:val="20"/>
                <w:szCs w:val="20"/>
                <w:lang w:val="es-ES"/>
              </w:rPr>
              <w:t xml:space="preserve">2.11.1.- Promoveremos acuerdos parlamentarios de consenso que permitan la </w:t>
            </w:r>
            <w:r w:rsidRPr="00BE4B34">
              <w:rPr>
                <w:b/>
                <w:sz w:val="20"/>
                <w:szCs w:val="20"/>
                <w:lang w:val="es-ES"/>
              </w:rPr>
              <w:t>elección y renovación de</w:t>
            </w:r>
            <w:r w:rsidRPr="00BE4B34">
              <w:rPr>
                <w:sz w:val="20"/>
                <w:szCs w:val="20"/>
                <w:lang w:val="es-ES"/>
              </w:rPr>
              <w:t xml:space="preserve"> los órganos constitucionales y organismos independientes, como en el caso del Consejo General del Poder Judicial, el Defensor del Pueblo, la </w:t>
            </w:r>
            <w:r w:rsidRPr="00BE4B34">
              <w:rPr>
                <w:b/>
                <w:sz w:val="20"/>
                <w:szCs w:val="20"/>
                <w:lang w:val="es-ES"/>
              </w:rPr>
              <w:t>Presidencia del Consejo de Transparencia y Buen Gobierno</w:t>
            </w:r>
            <w:r w:rsidRPr="00BE4B34">
              <w:rPr>
                <w:sz w:val="20"/>
                <w:szCs w:val="20"/>
                <w:lang w:val="es-ES"/>
              </w:rPr>
              <w:t xml:space="preserve"> y el Consejo de Administración de Radiotelevisión Española.</w:t>
            </w:r>
          </w:p>
        </w:tc>
        <w:tc>
          <w:tcPr>
            <w:tcW w:w="5049" w:type="dxa"/>
            <w:shd w:val="clear" w:color="auto" w:fill="auto"/>
          </w:tcPr>
          <w:p w:rsidR="00CB7D69" w:rsidRPr="00062BFC" w:rsidRDefault="00CB7D69" w:rsidP="00CB7D69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414" w:right="57" w:hanging="3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062BFC">
              <w:rPr>
                <w:rFonts w:ascii="Verdana" w:hAnsi="Verdana"/>
                <w:bCs/>
                <w:sz w:val="20"/>
                <w:szCs w:val="20"/>
                <w:lang w:val="es-ES"/>
              </w:rPr>
              <w:t>Otorgar</w:t>
            </w:r>
            <w:r w:rsidRPr="00062BFC">
              <w:rPr>
                <w:rFonts w:ascii="Verdana" w:hAnsi="Verdana"/>
                <w:sz w:val="20"/>
                <w:szCs w:val="20"/>
                <w:lang w:val="es-ES"/>
              </w:rPr>
              <w:t> </w:t>
            </w:r>
            <w:r w:rsidRPr="00062BFC">
              <w:rPr>
                <w:rFonts w:ascii="Verdana" w:hAnsi="Verdana"/>
                <w:b/>
                <w:color w:val="E3230E"/>
                <w:sz w:val="20"/>
                <w:szCs w:val="20"/>
                <w:lang w:val="es-ES"/>
              </w:rPr>
              <w:t>capacidad sancionadora y de supervisión</w:t>
            </w:r>
            <w:r w:rsidRPr="00062BFC">
              <w:rPr>
                <w:rFonts w:ascii="Verdana" w:hAnsi="Verdana"/>
                <w:sz w:val="20"/>
                <w:szCs w:val="20"/>
                <w:lang w:val="es-ES"/>
              </w:rPr>
              <w:t xml:space="preserve"> al Consejo de Transparencia y Buen Gobierno;</w:t>
            </w:r>
          </w:p>
          <w:p w:rsidR="00CB7D69" w:rsidRPr="00062BFC" w:rsidRDefault="00CB7D69" w:rsidP="00CB7D69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414" w:right="57" w:hanging="357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062BFC">
              <w:rPr>
                <w:rFonts w:ascii="Verdana" w:hAnsi="Verdana"/>
                <w:bCs/>
                <w:sz w:val="20"/>
                <w:szCs w:val="20"/>
                <w:lang w:val="es-ES"/>
              </w:rPr>
              <w:t xml:space="preserve">Dotarlo de </w:t>
            </w:r>
            <w:r w:rsidRPr="00062BFC">
              <w:rPr>
                <w:rFonts w:ascii="Verdana" w:hAnsi="Verdana"/>
                <w:b/>
                <w:bCs/>
                <w:color w:val="E3230E"/>
                <w:sz w:val="20"/>
                <w:szCs w:val="20"/>
                <w:lang w:val="es-ES"/>
              </w:rPr>
              <w:t>más recursos</w:t>
            </w:r>
            <w:r w:rsidRPr="00062BFC">
              <w:rPr>
                <w:rFonts w:ascii="Verdana" w:hAnsi="Verdana"/>
                <w:bCs/>
                <w:sz w:val="20"/>
                <w:szCs w:val="20"/>
                <w:lang w:val="es-ES"/>
              </w:rPr>
              <w:t xml:space="preserve"> y</w:t>
            </w:r>
          </w:p>
          <w:p w:rsidR="00CB7D69" w:rsidRPr="00062BFC" w:rsidRDefault="00CB7D69" w:rsidP="00CB7D69">
            <w:pPr>
              <w:pStyle w:val="Prrafodelista"/>
              <w:numPr>
                <w:ilvl w:val="0"/>
                <w:numId w:val="1"/>
              </w:numPr>
              <w:spacing w:before="120" w:after="120" w:line="240" w:lineRule="auto"/>
              <w:ind w:left="414" w:right="57" w:hanging="357"/>
              <w:jc w:val="both"/>
              <w:rPr>
                <w:i/>
                <w:lang w:val="es-ES"/>
              </w:rPr>
            </w:pPr>
            <w:r w:rsidRPr="00062BFC">
              <w:rPr>
                <w:rFonts w:ascii="Verdana" w:hAnsi="Verdana"/>
                <w:sz w:val="20"/>
                <w:szCs w:val="20"/>
                <w:lang w:val="es-ES"/>
              </w:rPr>
              <w:t xml:space="preserve">Hacer de él un </w:t>
            </w:r>
            <w:r w:rsidRPr="00062BFC">
              <w:rPr>
                <w:rFonts w:ascii="Verdana" w:hAnsi="Verdana"/>
                <w:b/>
                <w:color w:val="E3230E"/>
                <w:sz w:val="20"/>
                <w:szCs w:val="20"/>
                <w:lang w:val="es-ES"/>
              </w:rPr>
              <w:t>organismo realmente independiente.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rPr>
                <w:lang w:val="es-ES"/>
              </w:rPr>
            </w:pPr>
            <w:r w:rsidRPr="00D30D19">
              <w:rPr>
                <w:sz w:val="20"/>
                <w:lang w:val="es-ES"/>
              </w:rPr>
              <w:t xml:space="preserve">2.11.3.- Aprobaremos una </w:t>
            </w:r>
            <w:r w:rsidRPr="00D30D19">
              <w:rPr>
                <w:b/>
                <w:sz w:val="20"/>
                <w:lang w:val="es-ES"/>
              </w:rPr>
              <w:t>Ley integral contra la corrupción</w:t>
            </w:r>
            <w:r w:rsidRPr="00D30D19">
              <w:rPr>
                <w:sz w:val="20"/>
                <w:lang w:val="es-ES"/>
              </w:rPr>
              <w:t xml:space="preserve">, en la que se incluirá un </w:t>
            </w:r>
            <w:r w:rsidRPr="00D30D19">
              <w:rPr>
                <w:b/>
                <w:sz w:val="20"/>
                <w:lang w:val="es-ES"/>
              </w:rPr>
              <w:t>Estatuto del denunciante</w:t>
            </w:r>
            <w:r w:rsidRPr="00D30D19">
              <w:rPr>
                <w:sz w:val="20"/>
                <w:lang w:val="es-ES"/>
              </w:rPr>
              <w:t>. Se incluirán atenuantes en función del delito y las circunstancias de la denuncia.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2"/>
              </w:numPr>
              <w:spacing w:before="120" w:after="6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b/>
                <w:sz w:val="20"/>
                <w:lang w:val="es-ES_tradnl"/>
              </w:rPr>
              <w:t xml:space="preserve">Extender la protección ofrecida por la </w:t>
            </w:r>
            <w:hyperlink r:id="rId9" w:history="1">
              <w:r w:rsidRPr="00D30D19">
                <w:rPr>
                  <w:rStyle w:val="Hipervnculo"/>
                  <w:rFonts w:ascii="Verdana" w:hAnsi="Verdana"/>
                  <w:sz w:val="20"/>
                  <w:lang w:val="es-ES_tradnl"/>
                </w:rPr>
                <w:t>Directiva Europea 2019/1937</w:t>
              </w:r>
            </w:hyperlink>
            <w:r w:rsidRPr="00D30D19">
              <w:rPr>
                <w:rFonts w:ascii="Verdana" w:hAnsi="Verdana"/>
                <w:sz w:val="20"/>
                <w:lang w:val="es-ES_tradnl"/>
              </w:rPr>
              <w:t xml:space="preserve"> en su transposición, promulgando una sólida ley de protección al denunciante;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2"/>
              </w:numPr>
              <w:spacing w:after="6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b/>
                <w:color w:val="E3230E"/>
                <w:sz w:val="20"/>
                <w:lang w:val="es-ES_tradnl"/>
              </w:rPr>
              <w:t>Sensibilizar sobre el derecho de protección</w:t>
            </w:r>
            <w:r w:rsidRPr="00D30D19">
              <w:rPr>
                <w:rFonts w:ascii="Verdana" w:hAnsi="Verdana"/>
                <w:color w:val="E3230E"/>
                <w:sz w:val="20"/>
                <w:lang w:val="es-ES_tradnl"/>
              </w:rPr>
              <w:t xml:space="preserve"> </w:t>
            </w:r>
            <w:r w:rsidRPr="00D30D19">
              <w:rPr>
                <w:rFonts w:ascii="Verdana" w:hAnsi="Verdana"/>
                <w:sz w:val="20"/>
                <w:lang w:val="es-ES_tradnl"/>
              </w:rPr>
              <w:t xml:space="preserve">que tienen los denunciantes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_tradnl"/>
              </w:rPr>
              <w:t>y sobre los canales de denuncia</w:t>
            </w:r>
            <w:r w:rsidRPr="00D30D19">
              <w:rPr>
                <w:rFonts w:ascii="Verdana" w:hAnsi="Verdana"/>
                <w:sz w:val="20"/>
                <w:lang w:val="es-ES_tradnl"/>
              </w:rPr>
              <w:t xml:space="preserve"> internos, externos y púb</w:t>
            </w:r>
            <w:r w:rsidR="001A2808">
              <w:rPr>
                <w:rFonts w:ascii="Verdana" w:hAnsi="Verdana"/>
                <w:sz w:val="20"/>
                <w:lang w:val="es-ES_tradnl"/>
              </w:rPr>
              <w:t>l</w:t>
            </w:r>
            <w:r w:rsidRPr="00D30D19">
              <w:rPr>
                <w:rFonts w:ascii="Verdana" w:hAnsi="Verdana"/>
                <w:sz w:val="20"/>
                <w:lang w:val="es-ES_tradnl"/>
              </w:rPr>
              <w:t>icos que pueden utilizar; y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2"/>
              </w:numPr>
              <w:spacing w:after="12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b/>
                <w:color w:val="E3230E"/>
                <w:sz w:val="20"/>
                <w:lang w:val="es-ES_tradnl"/>
              </w:rPr>
              <w:t xml:space="preserve">Orientar a las empresas en la implementación </w:t>
            </w:r>
            <w:r w:rsidR="001A2808">
              <w:rPr>
                <w:rFonts w:ascii="Verdana" w:hAnsi="Verdana"/>
                <w:b/>
                <w:color w:val="E3230E"/>
                <w:sz w:val="20"/>
                <w:lang w:val="es-ES_tradnl"/>
              </w:rPr>
              <w:t xml:space="preserve">de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_tradnl"/>
              </w:rPr>
              <w:t>estos sistemas de denuncia</w:t>
            </w:r>
            <w:r w:rsidRPr="00D30D19">
              <w:rPr>
                <w:rFonts w:ascii="Verdana" w:hAnsi="Verdana"/>
                <w:sz w:val="20"/>
                <w:lang w:val="es-ES_tradnl"/>
              </w:rPr>
              <w:t>, así como a los trabajadores sobre el procedimiento a seguir, indicando cómo pueden denunciar y los mecanismos de protección legalmente regulados.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rPr>
                <w:lang w:val="es-ES"/>
              </w:rPr>
            </w:pPr>
            <w:r w:rsidRPr="00D30D19">
              <w:rPr>
                <w:sz w:val="20"/>
                <w:lang w:val="es-ES"/>
              </w:rPr>
              <w:t>2.11.4.- Abordaremos la</w:t>
            </w:r>
            <w:r w:rsidRPr="00D30D19">
              <w:rPr>
                <w:b/>
                <w:sz w:val="20"/>
                <w:lang w:val="es-ES"/>
              </w:rPr>
              <w:t xml:space="preserve"> regulación de los lobbies</w:t>
            </w:r>
            <w:r w:rsidRPr="00D30D19">
              <w:rPr>
                <w:sz w:val="20"/>
                <w:lang w:val="es-ES"/>
              </w:rPr>
              <w:t xml:space="preserve"> para hacer transparente su incidencia política, con </w:t>
            </w:r>
            <w:r w:rsidRPr="00D30D19">
              <w:rPr>
                <w:b/>
                <w:sz w:val="20"/>
                <w:lang w:val="es-ES"/>
              </w:rPr>
              <w:t>registro obligatorio y público de sus entrevistas y agendas</w:t>
            </w:r>
            <w:r w:rsidRPr="00D30D19">
              <w:rPr>
                <w:sz w:val="20"/>
                <w:lang w:val="es-ES"/>
              </w:rPr>
              <w:t>.</w:t>
            </w:r>
          </w:p>
        </w:tc>
        <w:tc>
          <w:tcPr>
            <w:tcW w:w="5049" w:type="dxa"/>
            <w:shd w:val="clear" w:color="auto" w:fill="auto"/>
          </w:tcPr>
          <w:p w:rsidR="00CB7D69" w:rsidRPr="001A2808" w:rsidRDefault="00CB7D69" w:rsidP="001A2808">
            <w:pPr>
              <w:pStyle w:val="Prrafodelista"/>
              <w:numPr>
                <w:ilvl w:val="0"/>
                <w:numId w:val="8"/>
              </w:numPr>
              <w:spacing w:before="120" w:after="120"/>
              <w:ind w:left="418"/>
              <w:rPr>
                <w:rFonts w:ascii="Verdana" w:hAnsi="Verdana"/>
                <w:lang w:val="es-ES"/>
              </w:rPr>
            </w:pPr>
            <w:r w:rsidRPr="001A2808">
              <w:rPr>
                <w:rFonts w:ascii="Verdana" w:hAnsi="Verdana"/>
                <w:bCs/>
                <w:sz w:val="20"/>
                <w:lang w:val="es-ES"/>
              </w:rPr>
              <w:t>Aprobar el registro de lobbies</w:t>
            </w:r>
            <w:r w:rsidRPr="001A2808">
              <w:rPr>
                <w:rFonts w:ascii="Verdana" w:hAnsi="Verdana"/>
                <w:b/>
                <w:bCs/>
                <w:sz w:val="20"/>
                <w:lang w:val="es-ES"/>
              </w:rPr>
              <w:t xml:space="preserve"> </w:t>
            </w:r>
            <w:r w:rsidRPr="001A2808">
              <w:rPr>
                <w:rFonts w:ascii="Verdana" w:hAnsi="Verdana"/>
                <w:sz w:val="20"/>
                <w:lang w:val="es-ES"/>
              </w:rPr>
              <w:t xml:space="preserve">en línea con los </w:t>
            </w:r>
            <w:hyperlink r:id="rId10" w:history="1">
              <w:r w:rsidRPr="001A2808">
                <w:rPr>
                  <w:rStyle w:val="Hipervnculo"/>
                  <w:rFonts w:ascii="Verdana" w:hAnsi="Verdana"/>
                  <w:sz w:val="20"/>
                  <w:lang w:val="es-ES"/>
                </w:rPr>
                <w:t>Estándares Internacionales de Regulación del Lobby</w:t>
              </w:r>
            </w:hyperlink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rPr>
                <w:lang w:val="es-ES"/>
              </w:rPr>
            </w:pPr>
            <w:r w:rsidRPr="00D30D19">
              <w:rPr>
                <w:sz w:val="20"/>
                <w:lang w:val="es-ES"/>
              </w:rPr>
              <w:t xml:space="preserve">2.11.6.- Aprobaremos una </w:t>
            </w:r>
            <w:r w:rsidRPr="00D30D19">
              <w:rPr>
                <w:b/>
                <w:sz w:val="20"/>
                <w:lang w:val="es-ES"/>
              </w:rPr>
              <w:t>reforma de la Ley de Transparencia y Buen Gobierno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u w:val="single"/>
                <w:lang w:val="es-ES"/>
              </w:rPr>
            </w:pPr>
            <w:r w:rsidRPr="00D30D19">
              <w:rPr>
                <w:rFonts w:ascii="Verdana" w:hAnsi="Verdana"/>
                <w:b/>
                <w:bCs/>
                <w:color w:val="E3230E"/>
                <w:sz w:val="20"/>
                <w:lang w:val="es-ES"/>
              </w:rPr>
              <w:t>Reconocer el Derecho de Acceso a la Información como un Derecho Fundamental,</w:t>
            </w:r>
            <w:r w:rsidRPr="00D30D19">
              <w:rPr>
                <w:rFonts w:ascii="Verdana" w:hAnsi="Verdana"/>
                <w:color w:val="E3230E"/>
                <w:sz w:val="20"/>
                <w:lang w:val="es-ES"/>
              </w:rPr>
              <w:t> </w:t>
            </w:r>
            <w:r w:rsidRPr="00D30D19">
              <w:rPr>
                <w:rFonts w:ascii="Verdana" w:hAnsi="Verdana"/>
                <w:sz w:val="20"/>
                <w:lang w:val="es-ES"/>
              </w:rPr>
              <w:t>en línea con los estándares internacionales y vinculado al Derecho a la Libertad de Expresión recogido en el Artículo 20 de la Constitución Española;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 xml:space="preserve">Eliminar la obligación de identificación </w:t>
            </w:r>
            <w:r w:rsidRPr="00D30D19">
              <w:rPr>
                <w:rFonts w:ascii="Verdana" w:hAnsi="Verdana"/>
                <w:sz w:val="20"/>
                <w:lang w:val="es-ES"/>
              </w:rPr>
              <w:t>del solicitante de información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;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sz w:val="20"/>
                <w:lang w:val="es-ES"/>
              </w:rPr>
            </w:pP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lastRenderedPageBreak/>
              <w:t>Incluir a todas las instituciones públicas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sz w:val="20"/>
                <w:lang w:val="es-ES"/>
              </w:rPr>
              <w:t>de cualquier naturaleza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 dentro del ámbito de aplicación de la Ley de Transparencia,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>también al Poder Judicial y al Legislativo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; 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414" w:right="57" w:hanging="357"/>
              <w:jc w:val="both"/>
              <w:rPr>
                <w:rFonts w:ascii="Verdana" w:hAnsi="Verdana"/>
                <w:sz w:val="20"/>
                <w:lang w:val="es-ES"/>
              </w:rPr>
            </w:pPr>
            <w:r w:rsidRPr="00D30D19">
              <w:rPr>
                <w:rFonts w:ascii="Verdana" w:hAnsi="Verdana"/>
                <w:b/>
                <w:sz w:val="20"/>
                <w:lang w:val="es-ES"/>
              </w:rPr>
              <w:t>Eliminar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 las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restricciones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 al derecho de acceso a la información que establece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el artículo 18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 (“información de carácter auxiliar, borradores, notas, opiniones, resúmenes, etcétera”); 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t>Establecer la obligatoriedad de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 xml:space="preserve">asistencia a los ciudadanos </w:t>
            </w:r>
            <w:r w:rsidRPr="00A206DC">
              <w:rPr>
                <w:rFonts w:ascii="Verdana" w:hAnsi="Verdana"/>
                <w:sz w:val="20"/>
                <w:lang w:val="es-ES"/>
              </w:rPr>
              <w:t>por parte de los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sz w:val="20"/>
                <w:lang w:val="es-ES"/>
              </w:rPr>
              <w:t>funcionarios al realizar una búsqueda o solicitud de información; y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3"/>
              </w:numPr>
              <w:spacing w:before="120" w:after="120" w:line="240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t>Eliminar la Disposición Adicional Primera de la Ley de Transparencia, y así establecer la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 xml:space="preserve"> preeminencia de la Ley de Transparencia </w:t>
            </w:r>
            <w:r w:rsidRPr="00D30D19">
              <w:rPr>
                <w:rFonts w:ascii="Verdana" w:hAnsi="Verdana"/>
                <w:sz w:val="20"/>
                <w:lang w:val="es-ES"/>
              </w:rPr>
              <w:t>frente a otras leyes que regulen el acceso a la información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sz w:val="20"/>
                <w:lang w:val="es-ES"/>
              </w:rPr>
              <w:t>sobre determinadas materias.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D30D19" w:rsidRDefault="00CB7D69" w:rsidP="00D30D19">
            <w:pPr>
              <w:spacing w:before="120" w:after="120"/>
              <w:rPr>
                <w:sz w:val="20"/>
                <w:lang w:val="es-ES"/>
              </w:rPr>
            </w:pPr>
            <w:r w:rsidRPr="00D30D19">
              <w:rPr>
                <w:sz w:val="20"/>
                <w:lang w:val="es-ES"/>
              </w:rPr>
              <w:lastRenderedPageBreak/>
              <w:t xml:space="preserve">y aprobaremos su </w:t>
            </w:r>
            <w:r w:rsidRPr="00D30D19">
              <w:rPr>
                <w:b/>
                <w:sz w:val="20"/>
                <w:lang w:val="es-ES"/>
              </w:rPr>
              <w:t>Reglamento</w:t>
            </w:r>
            <w:r w:rsidRPr="00D30D19">
              <w:rPr>
                <w:sz w:val="20"/>
                <w:lang w:val="es-ES"/>
              </w:rPr>
              <w:t xml:space="preserve"> sobre la base de la experiencia acumulada.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4"/>
              </w:numPr>
              <w:spacing w:before="120" w:after="6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t>Respetar el derecho de acceso a la información ya recogido en la ley, no limitarlo.</w:t>
            </w:r>
          </w:p>
          <w:p w:rsidR="00CB7D69" w:rsidRPr="00A206DC" w:rsidRDefault="00CB7D69" w:rsidP="00A206DC">
            <w:pPr>
              <w:pStyle w:val="Prrafodelista"/>
              <w:numPr>
                <w:ilvl w:val="0"/>
                <w:numId w:val="4"/>
              </w:numPr>
              <w:spacing w:before="120" w:after="120" w:line="252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lang w:val="es-ES_tradnl"/>
              </w:rPr>
            </w:pPr>
            <w:r w:rsidRPr="00A206DC">
              <w:rPr>
                <w:rFonts w:ascii="Verdana" w:hAnsi="Verdana"/>
                <w:b/>
                <w:sz w:val="20"/>
                <w:lang w:val="es-ES_tradnl"/>
              </w:rPr>
              <w:t>E</w:t>
            </w:r>
            <w:r w:rsidRPr="00A206DC">
              <w:rPr>
                <w:rFonts w:ascii="Verdana" w:hAnsi="Verdana"/>
                <w:b/>
                <w:sz w:val="20"/>
                <w:lang w:val="es-ES"/>
              </w:rPr>
              <w:t>stablecer que el plazo para resolver una sol</w:t>
            </w:r>
            <w:r w:rsidR="00A206DC" w:rsidRPr="00A206DC">
              <w:rPr>
                <w:rFonts w:ascii="Verdana" w:hAnsi="Verdana"/>
                <w:b/>
                <w:sz w:val="20"/>
                <w:lang w:val="es-ES"/>
              </w:rPr>
              <w:t>icitud empieza en el momento que el solicitante la entrega</w:t>
            </w:r>
            <w:r w:rsidRPr="00A206DC">
              <w:rPr>
                <w:rFonts w:ascii="Verdana" w:hAnsi="Verdana"/>
                <w:b/>
                <w:sz w:val="20"/>
                <w:lang w:val="es-ES"/>
              </w:rPr>
              <w:t>.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C879DB" w:rsidRDefault="00CB7D69" w:rsidP="00D30D19">
            <w:pPr>
              <w:spacing w:before="120" w:after="120"/>
              <w:rPr>
                <w:lang w:val="es-ES"/>
              </w:rPr>
            </w:pPr>
            <w:r w:rsidRPr="00D30D19">
              <w:rPr>
                <w:sz w:val="20"/>
                <w:lang w:val="es-ES"/>
              </w:rPr>
              <w:t>2.11.8.- Se iniciarán acciones para reforzar la lucha contra los “cárteles” en la</w:t>
            </w:r>
            <w:r w:rsidRPr="00D30D19">
              <w:rPr>
                <w:b/>
                <w:sz w:val="20"/>
                <w:lang w:val="es-ES"/>
              </w:rPr>
              <w:t xml:space="preserve"> contratación pública</w:t>
            </w:r>
            <w:r w:rsidRPr="00D30D19">
              <w:rPr>
                <w:sz w:val="20"/>
                <w:lang w:val="es-ES"/>
              </w:rPr>
              <w:t xml:space="preserve">, para desincentivar los fraudes y compensar el sobrecoste, resarcir los daños provocados y </w:t>
            </w:r>
            <w:r w:rsidRPr="00D30D19">
              <w:rPr>
                <w:b/>
                <w:sz w:val="20"/>
                <w:lang w:val="es-ES"/>
              </w:rPr>
              <w:t>aumentar la transparencia</w:t>
            </w:r>
            <w:r w:rsidRPr="00D30D19">
              <w:rPr>
                <w:sz w:val="20"/>
                <w:lang w:val="es-ES"/>
              </w:rPr>
              <w:t>.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4"/>
              </w:numPr>
              <w:spacing w:before="120" w:after="12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sz w:val="20"/>
                <w:lang w:val="es-ES_tradnl"/>
              </w:rPr>
              <w:t xml:space="preserve">Hacer obligatoria la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_tradnl"/>
              </w:rPr>
              <w:t>publicación a tiempo real de información de calidad, completa y actualizada durante todos los estadios del proceso de contratación pública</w:t>
            </w:r>
            <w:r w:rsidRPr="00D30D19">
              <w:rPr>
                <w:rFonts w:ascii="Verdana" w:hAnsi="Verdana"/>
                <w:sz w:val="20"/>
                <w:lang w:val="es-ES_tradnl"/>
              </w:rPr>
              <w:t>.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4"/>
              </w:numPr>
              <w:spacing w:before="120" w:after="12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sz w:val="20"/>
                <w:lang w:val="es-ES_tradnl"/>
              </w:rPr>
              <w:t xml:space="preserve">La publicación de esta información debe estar estandarizada, ser descargable y </w:t>
            </w:r>
            <w:r w:rsidRPr="00D30D19">
              <w:rPr>
                <w:rFonts w:ascii="Verdana" w:hAnsi="Verdana"/>
                <w:bCs/>
                <w:sz w:val="20"/>
                <w:lang w:val="es-ES_tradnl"/>
              </w:rPr>
              <w:t>permitir su lectura automática</w:t>
            </w:r>
            <w:r w:rsidRPr="00D30D19">
              <w:rPr>
                <w:rFonts w:ascii="Verdana" w:hAnsi="Verdana"/>
                <w:bCs/>
                <w:color w:val="FF0000"/>
                <w:sz w:val="20"/>
                <w:lang w:val="es-ES_tradnl"/>
              </w:rPr>
              <w:t xml:space="preserve"> </w:t>
            </w:r>
            <w:r w:rsidRPr="00D30D19">
              <w:rPr>
                <w:rFonts w:ascii="Verdana" w:hAnsi="Verdana"/>
                <w:sz w:val="20"/>
                <w:lang w:val="es-ES_tradnl"/>
              </w:rPr>
              <w:t>para garantizar la supervisión efectiva.</w:t>
            </w:r>
          </w:p>
          <w:p w:rsidR="00CB7D69" w:rsidRPr="00C879DB" w:rsidRDefault="00CB7D69" w:rsidP="00CB7D69">
            <w:pPr>
              <w:pStyle w:val="Prrafodelista"/>
              <w:numPr>
                <w:ilvl w:val="0"/>
                <w:numId w:val="4"/>
              </w:numPr>
              <w:spacing w:before="120" w:after="12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sz w:val="20"/>
                <w:lang w:val="es-ES_tradnl"/>
              </w:rPr>
              <w:t>Reforzar las exclusiones y sanciones a aquellos operadores económicos que tomen parte en actividades que distorsionen la competencia, tales como la manipulación de las licitaciones.</w:t>
            </w:r>
          </w:p>
          <w:p w:rsidR="00CB7D69" w:rsidRPr="00D30D19" w:rsidRDefault="00CB7D69" w:rsidP="00A206DC">
            <w:pPr>
              <w:pStyle w:val="Prrafodelista"/>
              <w:numPr>
                <w:ilvl w:val="0"/>
                <w:numId w:val="4"/>
              </w:numPr>
              <w:spacing w:before="60" w:after="120" w:line="252" w:lineRule="auto"/>
              <w:ind w:left="414" w:right="57" w:hanging="357"/>
              <w:jc w:val="both"/>
              <w:rPr>
                <w:rFonts w:ascii="Verdana" w:hAnsi="Verdana"/>
                <w:sz w:val="20"/>
                <w:lang w:val="es-ES_tradnl"/>
              </w:rPr>
            </w:pPr>
            <w:r w:rsidRPr="00D30D19">
              <w:rPr>
                <w:rFonts w:ascii="Verdana" w:hAnsi="Verdana"/>
                <w:b/>
                <w:sz w:val="20"/>
                <w:lang w:val="es-ES_tradnl"/>
              </w:rPr>
              <w:t>Incrementar la publicidad de oportunidades de contratación pública</w:t>
            </w:r>
            <w:r w:rsidRPr="00D30D19">
              <w:rPr>
                <w:rFonts w:ascii="Verdana" w:hAnsi="Verdana"/>
                <w:sz w:val="20"/>
                <w:lang w:val="es-ES_tradnl"/>
              </w:rPr>
              <w:t xml:space="preserve">, permitiendo a empresas locales, nacionales y extranjeras participar en el procedimiento. 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Un aumento de la competencia  (ej. </w:t>
            </w:r>
            <w:r w:rsidR="00A206DC">
              <w:rPr>
                <w:rFonts w:ascii="Verdana" w:hAnsi="Verdana"/>
                <w:sz w:val="20"/>
                <w:lang w:val="es-ES_tradnl"/>
              </w:rPr>
              <w:t>d</w:t>
            </w:r>
            <w:r w:rsidRPr="00D30D19">
              <w:rPr>
                <w:rFonts w:ascii="Verdana" w:hAnsi="Verdana"/>
                <w:sz w:val="20"/>
                <w:lang w:val="es-ES_tradnl"/>
              </w:rPr>
              <w:t>el número de licitadores) dificulta a los cárteles llegar a acuerdos satisfactorios.</w:t>
            </w: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D30D19" w:rsidRDefault="00CB7D69" w:rsidP="00D30D19">
            <w:pPr>
              <w:spacing w:before="120"/>
              <w:ind w:right="57"/>
              <w:jc w:val="both"/>
              <w:rPr>
                <w:sz w:val="20"/>
                <w:lang w:val="es-ES"/>
              </w:rPr>
            </w:pPr>
            <w:r w:rsidRPr="00D30D19">
              <w:rPr>
                <w:sz w:val="20"/>
                <w:lang w:val="es-ES"/>
              </w:rPr>
              <w:t xml:space="preserve">4.2.- Hacia una administración digital, más abierta y eficiente. 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5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sz w:val="20"/>
                <w:lang w:val="es-ES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lastRenderedPageBreak/>
              <w:t xml:space="preserve">Impulsaremos el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Plan de Digitalización de la Administración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, que incluirá medidas para aumentar la eficiencia y reducir la brecha digital en el uso para la e-administración a través del desarrollo de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servicios públicos electrónicos universales y de calidad abiertos, eficientes, flexibles e inclusivos y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 que sean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accesibles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 a todos los colectivos.</w:t>
            </w:r>
          </w:p>
          <w:p w:rsidR="00CB7D69" w:rsidRPr="00D30D19" w:rsidRDefault="00CB7D69" w:rsidP="00A206DC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14" w:right="57" w:hanging="357"/>
              <w:contextualSpacing w:val="0"/>
              <w:jc w:val="both"/>
              <w:rPr>
                <w:rFonts w:ascii="Verdana" w:hAnsi="Verdana"/>
                <w:sz w:val="20"/>
                <w:lang w:val="es-ES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t xml:space="preserve">Avanzaremos hacia 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>una Administración más abierta</w:t>
            </w:r>
            <w:r w:rsidRPr="00D30D19">
              <w:rPr>
                <w:rFonts w:ascii="Verdana" w:hAnsi="Verdana"/>
                <w:sz w:val="20"/>
                <w:lang w:val="es-ES"/>
              </w:rPr>
              <w:t>. El sector público tiene muchos datos que pueden utilizarse para mejorar vidas, ofrecer servicios públicos eficientes y promover el crecimiento económico, protegiendo adecuadamente la privacidad y los derechos individuales y colectivos de los ciudadanos.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5"/>
              </w:numPr>
              <w:spacing w:before="120" w:after="60" w:line="240" w:lineRule="auto"/>
              <w:ind w:left="414" w:right="57" w:hanging="357"/>
              <w:contextualSpacing w:val="0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 w:rsidRPr="00D30D19">
              <w:rPr>
                <w:rFonts w:ascii="Verdana" w:hAnsi="Verdana"/>
                <w:sz w:val="20"/>
                <w:lang w:val="es-ES"/>
              </w:rPr>
              <w:lastRenderedPageBreak/>
              <w:t>Garantizar que los ciudadanos ejercen su derecho de acceso a la información mediante un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 xml:space="preserve">lenguaje claro y </w:t>
            </w:r>
            <w:r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lastRenderedPageBreak/>
              <w:t>comprensible por parte de la administración</w:t>
            </w:r>
            <w:r w:rsidRPr="00D30D19">
              <w:rPr>
                <w:rFonts w:ascii="Verdana" w:hAnsi="Verdana"/>
                <w:b/>
                <w:sz w:val="20"/>
                <w:lang w:val="es-ES"/>
              </w:rPr>
              <w:t xml:space="preserve">. </w:t>
            </w:r>
          </w:p>
          <w:p w:rsidR="00CB7D69" w:rsidRPr="00D30D19" w:rsidRDefault="001A2808" w:rsidP="00CB7D69">
            <w:pPr>
              <w:pStyle w:val="Prrafodelista"/>
              <w:numPr>
                <w:ilvl w:val="0"/>
                <w:numId w:val="5"/>
              </w:numPr>
              <w:spacing w:before="120" w:after="60" w:line="240" w:lineRule="auto"/>
              <w:ind w:left="414" w:right="57" w:hanging="357"/>
              <w:jc w:val="both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sz w:val="20"/>
                <w:lang w:val="es-ES"/>
              </w:rPr>
              <w:t xml:space="preserve">Garantizar un </w:t>
            </w:r>
            <w:r w:rsidRPr="00D30D19">
              <w:rPr>
                <w:rFonts w:ascii="Verdana" w:hAnsi="Verdana"/>
                <w:sz w:val="20"/>
                <w:lang w:val="es-ES"/>
              </w:rPr>
              <w:t xml:space="preserve">acceso </w:t>
            </w:r>
            <w:r>
              <w:rPr>
                <w:rFonts w:ascii="Verdana" w:hAnsi="Verdana"/>
                <w:sz w:val="20"/>
                <w:lang w:val="es-ES"/>
              </w:rPr>
              <w:t xml:space="preserve">gratuito </w:t>
            </w:r>
            <w:r w:rsidR="00CB7D69" w:rsidRPr="00D30D19">
              <w:rPr>
                <w:rFonts w:ascii="Verdana" w:hAnsi="Verdana"/>
                <w:sz w:val="20"/>
                <w:lang w:val="es-ES"/>
              </w:rPr>
              <w:t xml:space="preserve">tanto al </w:t>
            </w:r>
            <w:r w:rsidR="00CB7D69" w:rsidRPr="00D30D19">
              <w:rPr>
                <w:rFonts w:ascii="Verdana" w:hAnsi="Verdana"/>
                <w:b/>
                <w:color w:val="E3230E"/>
                <w:sz w:val="20"/>
                <w:lang w:val="es-ES"/>
              </w:rPr>
              <w:t>Registro Mercantil</w:t>
            </w:r>
            <w:r w:rsidR="00CB7D69" w:rsidRPr="00D30D19">
              <w:rPr>
                <w:rFonts w:ascii="Verdana" w:hAnsi="Verdana"/>
                <w:sz w:val="20"/>
                <w:lang w:val="es-ES"/>
              </w:rPr>
              <w:t xml:space="preserve"> como al Catastro.</w:t>
            </w:r>
          </w:p>
          <w:p w:rsidR="00CB7D69" w:rsidRPr="00C879DB" w:rsidRDefault="00CB7D69" w:rsidP="00D30D19">
            <w:pPr>
              <w:rPr>
                <w:lang w:val="es-ES"/>
              </w:rPr>
            </w:pPr>
          </w:p>
        </w:tc>
      </w:tr>
      <w:tr w:rsidR="00CB7D69" w:rsidRPr="00125935" w:rsidTr="00A822BE">
        <w:tc>
          <w:tcPr>
            <w:tcW w:w="5016" w:type="dxa"/>
            <w:shd w:val="clear" w:color="auto" w:fill="auto"/>
          </w:tcPr>
          <w:p w:rsidR="00CB7D69" w:rsidRPr="00C879DB" w:rsidRDefault="00CB7D69" w:rsidP="00A206DC">
            <w:pPr>
              <w:spacing w:beforeLines="120" w:before="288" w:after="0"/>
              <w:ind w:right="57"/>
              <w:jc w:val="both"/>
              <w:rPr>
                <w:sz w:val="20"/>
                <w:lang w:val="es-ES"/>
              </w:rPr>
            </w:pPr>
            <w:r w:rsidRPr="00D30D19">
              <w:rPr>
                <w:sz w:val="20"/>
                <w:lang w:val="es-ES"/>
              </w:rPr>
              <w:lastRenderedPageBreak/>
              <w:t xml:space="preserve">7.1.- Políticas para garantizar la igualdad entre mujeres y hombres en el empleo y la ocupación. </w:t>
            </w:r>
          </w:p>
          <w:p w:rsidR="00CB7D69" w:rsidRPr="00D30D19" w:rsidRDefault="00CB7D69" w:rsidP="00CB7D69">
            <w:pPr>
              <w:numPr>
                <w:ilvl w:val="0"/>
                <w:numId w:val="6"/>
              </w:numPr>
              <w:spacing w:beforeLines="120" w:before="288" w:after="120"/>
              <w:ind w:left="714" w:right="57" w:hanging="357"/>
              <w:jc w:val="both"/>
              <w:rPr>
                <w:sz w:val="20"/>
                <w:lang w:val="es-ES"/>
              </w:rPr>
            </w:pPr>
            <w:r w:rsidRPr="00D30D19">
              <w:rPr>
                <w:sz w:val="20"/>
                <w:lang w:val="es-ES"/>
              </w:rPr>
              <w:t xml:space="preserve">Seguiremos trabajando para sacar adelante una Ley que garantice la igualdad retributiva y profundice en la igualdad de trato y de oportunidades entre mujeres y hombres en el empleo y la ocupación, a través, entre otras, de medidas como la </w:t>
            </w:r>
            <w:r w:rsidRPr="00D30D19">
              <w:rPr>
                <w:b/>
                <w:sz w:val="20"/>
                <w:lang w:val="es-ES"/>
              </w:rPr>
              <w:t>transparencia salarial</w:t>
            </w:r>
            <w:r w:rsidRPr="00D30D19">
              <w:rPr>
                <w:sz w:val="20"/>
                <w:lang w:val="es-ES"/>
              </w:rPr>
              <w:t>, obligando a las empresas a llevar un libro de salarios. Avanzando también en la implantación de planes de igualdad en las empresas de 50 o más trabajadores, que deberán ser inscritos en el registro que se creará reglamentariamente.</w:t>
            </w:r>
          </w:p>
        </w:tc>
        <w:tc>
          <w:tcPr>
            <w:tcW w:w="5049" w:type="dxa"/>
            <w:shd w:val="clear" w:color="auto" w:fill="auto"/>
          </w:tcPr>
          <w:p w:rsidR="00CB7D69" w:rsidRPr="00D30D19" w:rsidRDefault="00CB7D69" w:rsidP="00CB7D69">
            <w:pPr>
              <w:pStyle w:val="Prrafodelista"/>
              <w:numPr>
                <w:ilvl w:val="0"/>
                <w:numId w:val="7"/>
              </w:numPr>
              <w:spacing w:before="120" w:afterLines="60" w:after="144" w:line="240" w:lineRule="auto"/>
              <w:ind w:left="414" w:right="57" w:hanging="357"/>
              <w:jc w:val="both"/>
              <w:rPr>
                <w:rFonts w:ascii="Verdana" w:hAnsi="Verdana"/>
                <w:sz w:val="20"/>
                <w:lang w:val="es-ES"/>
              </w:rPr>
            </w:pPr>
            <w:r w:rsidRPr="00D30D19">
              <w:rPr>
                <w:rFonts w:ascii="Verdana" w:hAnsi="Verdana"/>
                <w:b/>
                <w:bCs/>
                <w:color w:val="E3230E"/>
                <w:sz w:val="20"/>
                <w:lang w:val="es-ES"/>
              </w:rPr>
              <w:t>Abordar la brecha de género en el acceso a la información</w:t>
            </w:r>
            <w:r w:rsidRPr="00D30D19">
              <w:rPr>
                <w:rFonts w:ascii="Verdana" w:hAnsi="Verdana"/>
                <w:sz w:val="20"/>
                <w:lang w:val="es-ES"/>
              </w:rPr>
              <w:t> (un 70% de las solicitudes a nivel nacional de información son realizadas por hombres).</w:t>
            </w:r>
          </w:p>
          <w:p w:rsidR="00CB7D69" w:rsidRPr="00D30D19" w:rsidRDefault="00CB7D69" w:rsidP="00CB7D69">
            <w:pPr>
              <w:pStyle w:val="Prrafodelista"/>
              <w:numPr>
                <w:ilvl w:val="0"/>
                <w:numId w:val="7"/>
              </w:numPr>
              <w:spacing w:before="60" w:afterLines="60" w:after="144" w:line="240" w:lineRule="auto"/>
              <w:ind w:left="414" w:right="57" w:hanging="357"/>
              <w:jc w:val="both"/>
              <w:rPr>
                <w:lang w:val="es-ES"/>
              </w:rPr>
            </w:pPr>
            <w:r w:rsidRPr="00D30D19">
              <w:rPr>
                <w:rFonts w:ascii="Verdana" w:hAnsi="Verdana"/>
                <w:b/>
                <w:bCs/>
                <w:color w:val="E3230E"/>
                <w:sz w:val="20"/>
                <w:lang w:val="es-ES"/>
              </w:rPr>
              <w:t>Publicación proactiva de datos relacionados</w:t>
            </w:r>
            <w:r w:rsidRPr="00D30D19">
              <w:rPr>
                <w:rFonts w:ascii="Verdana" w:hAnsi="Verdana"/>
                <w:b/>
                <w:bCs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b/>
                <w:bCs/>
                <w:color w:val="E3230E"/>
                <w:sz w:val="20"/>
                <w:lang w:val="es-ES"/>
              </w:rPr>
              <w:t>con</w:t>
            </w:r>
            <w:r w:rsidRPr="00D30D19">
              <w:rPr>
                <w:rFonts w:ascii="Verdana" w:hAnsi="Verdana"/>
                <w:b/>
                <w:bCs/>
                <w:sz w:val="20"/>
                <w:lang w:val="es-ES"/>
              </w:rPr>
              <w:t xml:space="preserve"> </w:t>
            </w:r>
            <w:r w:rsidRPr="00D30D19">
              <w:rPr>
                <w:rFonts w:ascii="Verdana" w:hAnsi="Verdana"/>
                <w:bCs/>
                <w:sz w:val="20"/>
                <w:lang w:val="es-ES"/>
              </w:rPr>
              <w:t>el</w:t>
            </w:r>
            <w:r w:rsidRPr="00D30D19">
              <w:rPr>
                <w:rFonts w:ascii="Verdana" w:hAnsi="Verdana"/>
                <w:b/>
                <w:bCs/>
                <w:sz w:val="20"/>
                <w:lang w:val="es-ES"/>
              </w:rPr>
              <w:t xml:space="preserve"> </w:t>
            </w:r>
            <w:hyperlink r:id="rId11" w:history="1">
              <w:r w:rsidRPr="00D30D19">
                <w:rPr>
                  <w:rStyle w:val="Hipervnculo"/>
                  <w:rFonts w:ascii="Verdana" w:hAnsi="Verdana"/>
                  <w:sz w:val="20"/>
                  <w:lang w:val="es-ES"/>
                </w:rPr>
                <w:t>Objetivo de Desarrollo Sostenible 5</w:t>
              </w:r>
            </w:hyperlink>
            <w:r w:rsidRPr="00D30D19">
              <w:rPr>
                <w:rFonts w:ascii="Verdana" w:hAnsi="Verdana"/>
                <w:b/>
                <w:bCs/>
                <w:sz w:val="20"/>
                <w:lang w:val="es-ES"/>
              </w:rPr>
              <w:t xml:space="preserve">: </w:t>
            </w:r>
            <w:r w:rsidRPr="00D30D19">
              <w:rPr>
                <w:rFonts w:ascii="Verdana" w:hAnsi="Verdana"/>
                <w:bCs/>
                <w:i/>
                <w:sz w:val="20"/>
                <w:lang w:val="es-ES"/>
              </w:rPr>
              <w:t xml:space="preserve">Lograr la </w:t>
            </w:r>
            <w:r w:rsidRPr="00D30D19">
              <w:rPr>
                <w:rFonts w:ascii="Verdana" w:hAnsi="Verdana"/>
                <w:b/>
                <w:bCs/>
                <w:i/>
                <w:color w:val="E3230E"/>
                <w:sz w:val="20"/>
                <w:lang w:val="es-ES"/>
              </w:rPr>
              <w:t>igualdad entre los géneros</w:t>
            </w:r>
            <w:r w:rsidRPr="00D30D19">
              <w:rPr>
                <w:rFonts w:ascii="Verdana" w:hAnsi="Verdana"/>
                <w:bCs/>
                <w:i/>
                <w:sz w:val="20"/>
                <w:lang w:val="es-ES"/>
              </w:rPr>
              <w:t xml:space="preserve"> y empoderar a todas las mujeres y las niñas.</w:t>
            </w:r>
            <w:r w:rsidRPr="00D30D19">
              <w:rPr>
                <w:bCs/>
                <w:i/>
                <w:sz w:val="20"/>
                <w:lang w:val="es-ES"/>
              </w:rPr>
              <w:t xml:space="preserve"> </w:t>
            </w:r>
          </w:p>
        </w:tc>
      </w:tr>
    </w:tbl>
    <w:p w:rsidR="00FC70BB" w:rsidRPr="00CB7D69" w:rsidRDefault="00FC70BB">
      <w:pPr>
        <w:rPr>
          <w:lang w:val="es-ES"/>
        </w:rPr>
      </w:pPr>
    </w:p>
    <w:sectPr w:rsidR="00FC70BB" w:rsidRPr="00CB7D69" w:rsidSect="00C32744">
      <w:pgSz w:w="11906" w:h="16838" w:code="9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33" w:rsidRDefault="00D63E33" w:rsidP="00062BFC">
      <w:pPr>
        <w:spacing w:after="0" w:line="240" w:lineRule="auto"/>
      </w:pPr>
      <w:r>
        <w:separator/>
      </w:r>
    </w:p>
  </w:endnote>
  <w:endnote w:type="continuationSeparator" w:id="0">
    <w:p w:rsidR="00D63E33" w:rsidRDefault="00D63E33" w:rsidP="000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33" w:rsidRDefault="00D63E33" w:rsidP="00062BFC">
      <w:pPr>
        <w:spacing w:after="0" w:line="240" w:lineRule="auto"/>
      </w:pPr>
      <w:r>
        <w:separator/>
      </w:r>
    </w:p>
  </w:footnote>
  <w:footnote w:type="continuationSeparator" w:id="0">
    <w:p w:rsidR="00D63E33" w:rsidRDefault="00D63E33" w:rsidP="000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0A1"/>
    <w:multiLevelType w:val="hybridMultilevel"/>
    <w:tmpl w:val="AFA4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7"/>
    <w:multiLevelType w:val="hybridMultilevel"/>
    <w:tmpl w:val="8A5E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985"/>
    <w:multiLevelType w:val="hybridMultilevel"/>
    <w:tmpl w:val="A3D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42BD"/>
    <w:multiLevelType w:val="hybridMultilevel"/>
    <w:tmpl w:val="6BE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5693D"/>
    <w:multiLevelType w:val="hybridMultilevel"/>
    <w:tmpl w:val="1B4C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7859"/>
    <w:multiLevelType w:val="hybridMultilevel"/>
    <w:tmpl w:val="05724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1F0D"/>
    <w:multiLevelType w:val="hybridMultilevel"/>
    <w:tmpl w:val="DAE4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126D3"/>
    <w:multiLevelType w:val="hybridMultilevel"/>
    <w:tmpl w:val="3E3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9"/>
    <w:rsid w:val="00062BFC"/>
    <w:rsid w:val="00125935"/>
    <w:rsid w:val="001A2808"/>
    <w:rsid w:val="002B0389"/>
    <w:rsid w:val="00A206DC"/>
    <w:rsid w:val="00A27387"/>
    <w:rsid w:val="00A822BE"/>
    <w:rsid w:val="00AE442B"/>
    <w:rsid w:val="00C32744"/>
    <w:rsid w:val="00CB7D69"/>
    <w:rsid w:val="00D63E33"/>
    <w:rsid w:val="00E55B1B"/>
    <w:rsid w:val="00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7CB15"/>
  <w15:chartTrackingRefBased/>
  <w15:docId w15:val="{13BD3D6C-AFD4-4DEB-817E-71ECC950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69"/>
    <w:pPr>
      <w:spacing w:after="200" w:line="276" w:lineRule="auto"/>
    </w:pPr>
    <w:rPr>
      <w:rFonts w:ascii="Verdana" w:eastAsia="Calibri" w:hAnsi="Verdana" w:cs="Times New Roman"/>
      <w:color w:val="00000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B7D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7D69"/>
    <w:pPr>
      <w:spacing w:after="160" w:line="259" w:lineRule="auto"/>
      <w:ind w:left="720"/>
      <w:contextualSpacing/>
    </w:pPr>
    <w:rPr>
      <w:rFonts w:ascii="Calibri" w:hAnsi="Calibri"/>
      <w:color w:val="auto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6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BFC"/>
    <w:rPr>
      <w:rFonts w:ascii="Verdana" w:eastAsia="Calibri" w:hAnsi="Verdana" w:cs="Times New Roman"/>
      <w:color w:val="00000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6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2BFC"/>
    <w:rPr>
      <w:rFonts w:ascii="Verdana" w:eastAsia="Calibri" w:hAnsi="Verdana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es/gender-equalit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bbyingtransparency.net/International_Standards_for_Lobbying_Regulation_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doue/2019/305/L00017-0005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4172-6220-4845-BA68-9B4ADCAF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Domínguez</dc:creator>
  <cp:keywords/>
  <dc:description/>
  <cp:lastModifiedBy>Paula Domínguez</cp:lastModifiedBy>
  <cp:revision>3</cp:revision>
  <dcterms:created xsi:type="dcterms:W3CDTF">2020-01-09T09:12:00Z</dcterms:created>
  <dcterms:modified xsi:type="dcterms:W3CDTF">2020-01-09T09:39:00Z</dcterms:modified>
</cp:coreProperties>
</file>