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43612" w14:textId="39325D42" w:rsidR="00C562EA" w:rsidRPr="006E43D2" w:rsidRDefault="007C1EBB" w:rsidP="007C1EBB">
      <w:pPr>
        <w:tabs>
          <w:tab w:val="center" w:pos="6480"/>
          <w:tab w:val="right" w:pos="9360"/>
        </w:tabs>
        <w:spacing w:before="840" w:line="240" w:lineRule="auto"/>
        <w:ind w:left="2880" w:firstLine="720"/>
        <w:rPr>
          <w:rFonts w:cs="Times New Roman"/>
          <w:color w:val="FFFFFF" w:themeColor="background1"/>
          <w:sz w:val="112"/>
          <w:szCs w:val="112"/>
        </w:rPr>
      </w:pPr>
      <w:r>
        <w:rPr>
          <w:rFonts w:cs="Times New Roman"/>
          <w:noProof/>
          <w:color w:val="FFFFFF" w:themeColor="background1"/>
          <w:sz w:val="112"/>
          <w:szCs w:val="112"/>
          <w:lang w:val="en-US"/>
        </w:rPr>
        <w:drawing>
          <wp:anchor distT="0" distB="0" distL="114300" distR="114300" simplePos="0" relativeHeight="251667456" behindDoc="1" locked="0" layoutInCell="1" allowOverlap="1" wp14:anchorId="00EF2426" wp14:editId="75D8DCE2">
            <wp:simplePos x="0" y="0"/>
            <wp:positionH relativeFrom="page">
              <wp:posOffset>270998</wp:posOffset>
            </wp:positionH>
            <wp:positionV relativeFrom="paragraph">
              <wp:posOffset>-743925</wp:posOffset>
            </wp:positionV>
            <wp:extent cx="7359091" cy="284047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ORD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091" cy="2840477"/>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Pr>
          <w:rFonts w:cs="Times New Roman"/>
          <w:noProof/>
          <w:color w:val="FFFFFF" w:themeColor="background1"/>
          <w:sz w:val="112"/>
          <w:szCs w:val="112"/>
          <w:lang w:val="en-US"/>
        </w:rPr>
        <w:drawing>
          <wp:anchor distT="0" distB="0" distL="114300" distR="114300" simplePos="0" relativeHeight="251666432" behindDoc="1" locked="0" layoutInCell="1" allowOverlap="1" wp14:anchorId="75C5BF14" wp14:editId="4C1407E7">
            <wp:simplePos x="0" y="0"/>
            <wp:positionH relativeFrom="page">
              <wp:posOffset>-401053</wp:posOffset>
            </wp:positionH>
            <wp:positionV relativeFrom="paragraph">
              <wp:posOffset>-914400</wp:posOffset>
            </wp:positionV>
            <wp:extent cx="10010276" cy="3192379"/>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ORD_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8449" cy="3198174"/>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cs="Times New Roman"/>
          <w:color w:val="FFFFFF" w:themeColor="background1"/>
          <w:sz w:val="112"/>
          <w:szCs w:val="112"/>
        </w:rPr>
        <w:tab/>
      </w:r>
    </w:p>
    <w:p w14:paraId="34B6C754" w14:textId="2496BEB7" w:rsidR="00C562EA" w:rsidRPr="006E43D2" w:rsidRDefault="00C562EA" w:rsidP="00C562EA">
      <w:pPr>
        <w:spacing w:line="240" w:lineRule="auto"/>
        <w:rPr>
          <w:rFonts w:cs="Times New Roman"/>
          <w:color w:val="FFFFFF" w:themeColor="background1"/>
          <w:sz w:val="72"/>
          <w:szCs w:val="72"/>
        </w:rPr>
      </w:pPr>
      <w:r w:rsidRPr="006E43D2">
        <w:rPr>
          <w:rFonts w:cs="Times New Roman"/>
          <w:noProof/>
          <w:sz w:val="44"/>
          <w:szCs w:val="44"/>
          <w:lang w:val="en-US"/>
        </w:rPr>
        <mc:AlternateContent>
          <mc:Choice Requires="wps">
            <w:drawing>
              <wp:anchor distT="45720" distB="45720" distL="114300" distR="114300" simplePos="0" relativeHeight="251665408" behindDoc="0" locked="0" layoutInCell="1" allowOverlap="1" wp14:anchorId="2047F6D6" wp14:editId="373614B0">
                <wp:simplePos x="0" y="0"/>
                <wp:positionH relativeFrom="page">
                  <wp:align>left</wp:align>
                </wp:positionH>
                <wp:positionV relativeFrom="paragraph">
                  <wp:posOffset>697865</wp:posOffset>
                </wp:positionV>
                <wp:extent cx="7950200" cy="251968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0" cy="2519680"/>
                        </a:xfrm>
                        <a:prstGeom prst="rect">
                          <a:avLst/>
                        </a:prstGeom>
                        <a:solidFill>
                          <a:srgbClr val="329DC8"/>
                        </a:solidFill>
                        <a:ln w="19050" cap="flat" cmpd="sng" algn="ctr">
                          <a:solidFill>
                            <a:sysClr val="window" lastClr="FFFFFF"/>
                          </a:solidFill>
                          <a:prstDash val="solid"/>
                          <a:miter lim="800000"/>
                          <a:headEnd/>
                          <a:tailEnd/>
                        </a:ln>
                        <a:effectLst/>
                      </wps:spPr>
                      <wps:txbx>
                        <w:txbxContent>
                          <w:p w14:paraId="6E20F93C" w14:textId="77777777" w:rsidR="00C562EA" w:rsidRDefault="00C562EA" w:rsidP="00C562EA">
                            <w:pPr>
                              <w:jc w:val="center"/>
                              <w:rPr>
                                <w:rFonts w:cs="Times New Roman"/>
                                <w:color w:val="000000" w:themeColor="text1"/>
                                <w:sz w:val="40"/>
                                <w:szCs w:val="40"/>
                                <w:lang w:val="en-US"/>
                              </w:rPr>
                            </w:pPr>
                          </w:p>
                          <w:p w14:paraId="02066358" w14:textId="77777777" w:rsidR="00C562EA" w:rsidRPr="00F46E8A" w:rsidRDefault="00C562EA" w:rsidP="00C562EA">
                            <w:pPr>
                              <w:spacing w:before="480" w:line="240" w:lineRule="auto"/>
                              <w:jc w:val="center"/>
                              <w:rPr>
                                <w:rFonts w:ascii="Trebuchet MS" w:hAnsi="Trebuchet MS" w:cs="Times New Roman"/>
                                <w:color w:val="000000" w:themeColor="text1"/>
                                <w:sz w:val="40"/>
                                <w:szCs w:val="40"/>
                                <w:lang w:val="en-US"/>
                              </w:rPr>
                            </w:pPr>
                            <w:r w:rsidRPr="00F46E8A">
                              <w:rPr>
                                <w:rFonts w:ascii="Trebuchet MS" w:hAnsi="Trebuchet MS" w:cs="Times New Roman"/>
                                <w:color w:val="000000" w:themeColor="text1"/>
                                <w:sz w:val="40"/>
                                <w:szCs w:val="40"/>
                                <w:lang w:val="en-US"/>
                              </w:rPr>
                              <w:t xml:space="preserve">PUBLIC PROCUREMENT TRANSPARENCY </w:t>
                            </w:r>
                            <w:r>
                              <w:rPr>
                                <w:rFonts w:ascii="Trebuchet MS" w:hAnsi="Trebuchet MS" w:cs="Times New Roman"/>
                                <w:color w:val="000000" w:themeColor="text1"/>
                                <w:sz w:val="40"/>
                                <w:szCs w:val="40"/>
                                <w:lang w:val="en-US"/>
                              </w:rPr>
                              <w:t>&amp; INTEGRITY</w:t>
                            </w:r>
                          </w:p>
                          <w:p w14:paraId="4A1DD3DA" w14:textId="77777777" w:rsidR="00C562EA" w:rsidRDefault="00C562EA" w:rsidP="00C562EA">
                            <w:pPr>
                              <w:spacing w:line="240" w:lineRule="auto"/>
                              <w:jc w:val="center"/>
                              <w:rPr>
                                <w:rFonts w:ascii="Trebuchet MS" w:hAnsi="Trebuchet MS" w:cs="Times New Roman"/>
                                <w:color w:val="000000" w:themeColor="text1"/>
                                <w:sz w:val="40"/>
                                <w:szCs w:val="40"/>
                                <w:lang w:val="en-US"/>
                              </w:rPr>
                            </w:pPr>
                          </w:p>
                          <w:p w14:paraId="60987647" w14:textId="52F42C9C" w:rsidR="00C562EA" w:rsidRPr="00F46E8A" w:rsidRDefault="00C562EA" w:rsidP="00C562EA">
                            <w:pPr>
                              <w:spacing w:line="240" w:lineRule="auto"/>
                              <w:jc w:val="center"/>
                              <w:rPr>
                                <w:rFonts w:ascii="Trebuchet MS" w:hAnsi="Trebuchet MS" w:cs="Times New Roman"/>
                                <w:color w:val="000000" w:themeColor="text1"/>
                                <w:sz w:val="40"/>
                                <w:szCs w:val="40"/>
                                <w:lang w:val="en-US"/>
                              </w:rPr>
                            </w:pPr>
                            <w:r>
                              <w:rPr>
                                <w:rFonts w:ascii="Trebuchet MS" w:hAnsi="Trebuchet MS" w:cs="Times New Roman"/>
                                <w:color w:val="000000" w:themeColor="text1"/>
                                <w:sz w:val="40"/>
                                <w:szCs w:val="40"/>
                                <w:lang w:val="en-US"/>
                              </w:rPr>
                              <w:t>Procurement Glossary</w:t>
                            </w:r>
                          </w:p>
                          <w:p w14:paraId="53FE77BB" w14:textId="77777777" w:rsidR="00C562EA" w:rsidRDefault="00C562EA" w:rsidP="00C5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7F6D6" id="_x0000_t202" coordsize="21600,21600" o:spt="202" path="m,l,21600r21600,l21600,xe">
                <v:stroke joinstyle="miter"/>
                <v:path gradientshapeok="t" o:connecttype="rect"/>
              </v:shapetype>
              <v:shape id="Text Box 2" o:spid="_x0000_s1026" type="#_x0000_t202" style="position:absolute;margin-left:0;margin-top:54.95pt;width:626pt;height:198.4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" fillcolor="#329dc8" strokecolor="window" strokeweight="1.5pt">
                <v:textbox>
                  <w:txbxContent>
                    <w:p w14:paraId="6E20F93C" w14:textId="77777777" w:rsidR="00C562EA" w:rsidRDefault="00C562EA" w:rsidP="00C562EA">
                      <w:pPr>
                        <w:jc w:val="center"/>
                        <w:rPr>
                          <w:rFonts w:cs="Times New Roman"/>
                          <w:color w:val="000000" w:themeColor="text1"/>
                          <w:sz w:val="40"/>
                          <w:szCs w:val="40"/>
                          <w:lang w:val="en-US"/>
                        </w:rPr>
                      </w:pPr>
                    </w:p>
                    <w:p w14:paraId="02066358" w14:textId="77777777" w:rsidR="00C562EA" w:rsidRPr="00F46E8A" w:rsidRDefault="00C562EA" w:rsidP="00C562EA">
                      <w:pPr>
                        <w:spacing w:before="480" w:line="240" w:lineRule="auto"/>
                        <w:jc w:val="center"/>
                        <w:rPr>
                          <w:rFonts w:ascii="Trebuchet MS" w:hAnsi="Trebuchet MS" w:cs="Times New Roman"/>
                          <w:color w:val="000000" w:themeColor="text1"/>
                          <w:sz w:val="40"/>
                          <w:szCs w:val="40"/>
                          <w:lang w:val="en-US"/>
                        </w:rPr>
                      </w:pPr>
                      <w:r w:rsidRPr="00F46E8A">
                        <w:rPr>
                          <w:rFonts w:ascii="Trebuchet MS" w:hAnsi="Trebuchet MS" w:cs="Times New Roman"/>
                          <w:color w:val="000000" w:themeColor="text1"/>
                          <w:sz w:val="40"/>
                          <w:szCs w:val="40"/>
                          <w:lang w:val="en-US"/>
                        </w:rPr>
                        <w:t xml:space="preserve">PUBLIC PROCUREMENT TRANSPARENCY </w:t>
                      </w:r>
                      <w:r>
                        <w:rPr>
                          <w:rFonts w:ascii="Trebuchet MS" w:hAnsi="Trebuchet MS" w:cs="Times New Roman"/>
                          <w:color w:val="000000" w:themeColor="text1"/>
                          <w:sz w:val="40"/>
                          <w:szCs w:val="40"/>
                          <w:lang w:val="en-US"/>
                        </w:rPr>
                        <w:t>&amp; INTEGRITY</w:t>
                      </w:r>
                    </w:p>
                    <w:p w14:paraId="4A1DD3DA" w14:textId="77777777" w:rsidR="00C562EA" w:rsidRDefault="00C562EA" w:rsidP="00C562EA">
                      <w:pPr>
                        <w:spacing w:line="240" w:lineRule="auto"/>
                        <w:jc w:val="center"/>
                        <w:rPr>
                          <w:rFonts w:ascii="Trebuchet MS" w:hAnsi="Trebuchet MS" w:cs="Times New Roman"/>
                          <w:color w:val="000000" w:themeColor="text1"/>
                          <w:sz w:val="40"/>
                          <w:szCs w:val="40"/>
                          <w:lang w:val="en-US"/>
                        </w:rPr>
                      </w:pPr>
                    </w:p>
                    <w:p w14:paraId="60987647" w14:textId="52F42C9C" w:rsidR="00C562EA" w:rsidRPr="00F46E8A" w:rsidRDefault="00C562EA" w:rsidP="00C562EA">
                      <w:pPr>
                        <w:spacing w:line="240" w:lineRule="auto"/>
                        <w:jc w:val="center"/>
                        <w:rPr>
                          <w:rFonts w:ascii="Trebuchet MS" w:hAnsi="Trebuchet MS" w:cs="Times New Roman"/>
                          <w:color w:val="000000" w:themeColor="text1"/>
                          <w:sz w:val="40"/>
                          <w:szCs w:val="40"/>
                          <w:lang w:val="en-US"/>
                        </w:rPr>
                      </w:pPr>
                      <w:r>
                        <w:rPr>
                          <w:rFonts w:ascii="Trebuchet MS" w:hAnsi="Trebuchet MS" w:cs="Times New Roman"/>
                          <w:color w:val="000000" w:themeColor="text1"/>
                          <w:sz w:val="40"/>
                          <w:szCs w:val="40"/>
                          <w:lang w:val="en-US"/>
                        </w:rPr>
                        <w:t>Procurement Glossary</w:t>
                      </w:r>
                    </w:p>
                    <w:p w14:paraId="53FE77BB" w14:textId="77777777" w:rsidR="00C562EA" w:rsidRDefault="00C562EA" w:rsidP="00C562EA"/>
                  </w:txbxContent>
                </v:textbox>
                <w10:wrap type="square" anchorx="page"/>
              </v:shape>
            </w:pict>
          </mc:Fallback>
        </mc:AlternateContent>
      </w:r>
    </w:p>
    <w:p w14:paraId="6309C3E5" w14:textId="461F3B63" w:rsidR="00C562EA" w:rsidRPr="006E43D2" w:rsidRDefault="00B822BA" w:rsidP="00C562EA">
      <w:pPr>
        <w:spacing w:line="300" w:lineRule="exact"/>
        <w:ind w:left="5760" w:firstLine="720"/>
        <w:rPr>
          <w:rFonts w:cs="Times New Roman"/>
          <w:szCs w:val="24"/>
        </w:rPr>
      </w:pPr>
      <w:r w:rsidRPr="006E43D2">
        <w:rPr>
          <w:rFonts w:cs="Times New Roman"/>
          <w:noProof/>
          <w:sz w:val="44"/>
          <w:szCs w:val="44"/>
          <w:lang w:val="en-US"/>
        </w:rPr>
        <w:drawing>
          <wp:anchor distT="0" distB="0" distL="114300" distR="114300" simplePos="0" relativeHeight="251659264" behindDoc="0" locked="0" layoutInCell="1" allowOverlap="1" wp14:anchorId="266C6236" wp14:editId="7372A9F4">
            <wp:simplePos x="0" y="0"/>
            <wp:positionH relativeFrom="margin">
              <wp:align>center</wp:align>
            </wp:positionH>
            <wp:positionV relativeFrom="paragraph">
              <wp:posOffset>2867955</wp:posOffset>
            </wp:positionV>
            <wp:extent cx="2497455" cy="825500"/>
            <wp:effectExtent l="0" t="0" r="0" b="0"/>
            <wp:wrapSquare wrapText="bothSides"/>
            <wp:docPr id="2" name="Picture 2" descr="C:\Users\Helen\AppData\Local\Microsoft\Windows\INetCache\Content.MSO\DE0922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AppData\Local\Microsoft\Windows\INetCache\Content.MSO\DE09224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7455" cy="825500"/>
                    </a:xfrm>
                    <a:prstGeom prst="rect">
                      <a:avLst/>
                    </a:prstGeom>
                    <a:noFill/>
                    <a:ln>
                      <a:noFill/>
                    </a:ln>
                  </pic:spPr>
                </pic:pic>
              </a:graphicData>
            </a:graphic>
          </wp:anchor>
        </w:drawing>
      </w:r>
    </w:p>
    <w:p w14:paraId="08AD14FE" w14:textId="4F35A358" w:rsidR="00C562EA" w:rsidRPr="006E43D2" w:rsidRDefault="00C562EA" w:rsidP="00C562EA">
      <w:pPr>
        <w:spacing w:line="300" w:lineRule="exact"/>
        <w:rPr>
          <w:rFonts w:cs="Times New Roman"/>
          <w:szCs w:val="24"/>
        </w:rPr>
      </w:pPr>
    </w:p>
    <w:p w14:paraId="730AFDDB" w14:textId="77777777" w:rsidR="00C562EA" w:rsidRPr="006E43D2" w:rsidRDefault="00C562EA" w:rsidP="00C562EA">
      <w:pPr>
        <w:spacing w:line="300" w:lineRule="exact"/>
        <w:rPr>
          <w:rFonts w:cs="Times New Roman"/>
          <w:szCs w:val="24"/>
        </w:rPr>
      </w:pPr>
    </w:p>
    <w:p w14:paraId="07B9B37F" w14:textId="487BCE45" w:rsidR="00C562EA" w:rsidRPr="006E43D2" w:rsidRDefault="00C562EA" w:rsidP="00C562EA">
      <w:pPr>
        <w:spacing w:line="300" w:lineRule="exact"/>
        <w:rPr>
          <w:rFonts w:cs="Times New Roman"/>
          <w:szCs w:val="24"/>
        </w:rPr>
      </w:pPr>
    </w:p>
    <w:p w14:paraId="7A27C934" w14:textId="11C21D6E" w:rsidR="00C562EA" w:rsidRPr="006E43D2" w:rsidRDefault="00B822BA" w:rsidP="00C562EA">
      <w:pPr>
        <w:spacing w:line="300" w:lineRule="exact"/>
        <w:rPr>
          <w:rFonts w:cs="Times New Roman"/>
          <w:szCs w:val="24"/>
        </w:rPr>
      </w:pPr>
      <w:r w:rsidRPr="006E43D2">
        <w:rPr>
          <w:rFonts w:ascii="Trebuchet MS" w:eastAsiaTheme="majorEastAsia" w:hAnsi="Trebuchet MS" w:cs="Times New Roman"/>
          <w:b/>
          <w:bCs/>
          <w:noProof/>
          <w:color w:val="FFFFFF" w:themeColor="background1"/>
          <w:sz w:val="32"/>
          <w:szCs w:val="24"/>
          <w:lang w:val="en-US"/>
        </w:rPr>
        <w:drawing>
          <wp:anchor distT="0" distB="0" distL="114300" distR="114300" simplePos="0" relativeHeight="251660288" behindDoc="0" locked="0" layoutInCell="1" allowOverlap="1" wp14:anchorId="57AE5ECF" wp14:editId="17A8DEF9">
            <wp:simplePos x="0" y="0"/>
            <wp:positionH relativeFrom="margin">
              <wp:posOffset>1143000</wp:posOffset>
            </wp:positionH>
            <wp:positionV relativeFrom="paragraph">
              <wp:posOffset>248417</wp:posOffset>
            </wp:positionV>
            <wp:extent cx="1189355" cy="934720"/>
            <wp:effectExtent l="0" t="0" r="0" b="0"/>
            <wp:wrapThrough wrapText="bothSides">
              <wp:wrapPolygon edited="0">
                <wp:start x="0" y="0"/>
                <wp:lineTo x="0" y="21130"/>
                <wp:lineTo x="19720" y="21130"/>
                <wp:lineTo x="21104" y="21130"/>
                <wp:lineTo x="21104" y="0"/>
                <wp:lineTo x="0" y="0"/>
              </wp:wrapPolygon>
            </wp:wrapThrough>
            <wp:docPr id="3" name="1 Imagen" descr="LOGOG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GO.png"/>
                    <pic:cNvPicPr/>
                  </pic:nvPicPr>
                  <pic:blipFill>
                    <a:blip r:embed="rId11" cstate="print"/>
                    <a:stretch>
                      <a:fillRect/>
                    </a:stretch>
                  </pic:blipFill>
                  <pic:spPr>
                    <a:xfrm>
                      <a:off x="0" y="0"/>
                      <a:ext cx="1189355" cy="934720"/>
                    </a:xfrm>
                    <a:prstGeom prst="rect">
                      <a:avLst/>
                    </a:prstGeom>
                  </pic:spPr>
                </pic:pic>
              </a:graphicData>
            </a:graphic>
            <wp14:sizeRelH relativeFrom="margin">
              <wp14:pctWidth>0</wp14:pctWidth>
            </wp14:sizeRelH>
            <wp14:sizeRelV relativeFrom="margin">
              <wp14:pctHeight>0</wp14:pctHeight>
            </wp14:sizeRelV>
          </wp:anchor>
        </w:drawing>
      </w:r>
      <w:r w:rsidRPr="006E43D2">
        <w:rPr>
          <w:rFonts w:cs="Times New Roman"/>
          <w:noProof/>
          <w:szCs w:val="24"/>
          <w:lang w:val="en-US"/>
        </w:rPr>
        <w:drawing>
          <wp:anchor distT="0" distB="0" distL="114300" distR="114300" simplePos="0" relativeHeight="251662336" behindDoc="0" locked="0" layoutInCell="1" allowOverlap="1" wp14:anchorId="33D331E2" wp14:editId="362415EB">
            <wp:simplePos x="0" y="0"/>
            <wp:positionH relativeFrom="margin">
              <wp:posOffset>3301852</wp:posOffset>
            </wp:positionH>
            <wp:positionV relativeFrom="paragraph">
              <wp:posOffset>140394</wp:posOffset>
            </wp:positionV>
            <wp:extent cx="2000250" cy="928370"/>
            <wp:effectExtent l="0" t="0" r="0" b="5080"/>
            <wp:wrapSquare wrapText="bothSides"/>
            <wp:docPr id="5" name="Picture 5" descr="https://funky.ong/wp-content/uploads/thegem-logos/logo_8096e7e46d0cc20d3cd20893662da1dd_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ky.ong/wp-content/uploads/thegem-logos/logo_8096e7e46d0cc20d3cd20893662da1dd_1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EC753" w14:textId="5612292A" w:rsidR="00C562EA" w:rsidRPr="006E43D2" w:rsidRDefault="00C562EA" w:rsidP="00C562EA">
      <w:pPr>
        <w:spacing w:line="300" w:lineRule="exact"/>
        <w:rPr>
          <w:rFonts w:cs="Times New Roman"/>
          <w:szCs w:val="24"/>
        </w:rPr>
      </w:pPr>
    </w:p>
    <w:p w14:paraId="4611A9AC" w14:textId="5DB9C5E7" w:rsidR="00C562EA" w:rsidRPr="006E43D2" w:rsidRDefault="00C562EA" w:rsidP="00C562EA">
      <w:pPr>
        <w:spacing w:line="300" w:lineRule="exact"/>
        <w:rPr>
          <w:rFonts w:cs="Times New Roman"/>
          <w:szCs w:val="24"/>
        </w:rPr>
      </w:pPr>
    </w:p>
    <w:p w14:paraId="2EA70241" w14:textId="3AEA1A4A" w:rsidR="00C562EA" w:rsidRPr="006E43D2" w:rsidRDefault="00B822BA" w:rsidP="00C562EA">
      <w:pPr>
        <w:spacing w:line="300" w:lineRule="exact"/>
        <w:rPr>
          <w:rFonts w:cs="Times New Roman"/>
          <w:szCs w:val="24"/>
        </w:rPr>
      </w:pPr>
      <w:r w:rsidRPr="006E43D2">
        <w:rPr>
          <w:rFonts w:ascii="Trebuchet MS" w:eastAsiaTheme="majorEastAsia" w:hAnsi="Trebuchet MS" w:cs="Times New Roman"/>
          <w:noProof/>
          <w:color w:val="404040" w:themeColor="text1" w:themeTint="BF"/>
          <w:sz w:val="32"/>
          <w:szCs w:val="24"/>
          <w:lang w:val="en-US"/>
        </w:rPr>
        <w:drawing>
          <wp:anchor distT="0" distB="0" distL="114300" distR="114300" simplePos="0" relativeHeight="251661312" behindDoc="1" locked="0" layoutInCell="1" allowOverlap="1" wp14:anchorId="118EEE8D" wp14:editId="41FF6DE3">
            <wp:simplePos x="0" y="0"/>
            <wp:positionH relativeFrom="margin">
              <wp:align>left</wp:align>
            </wp:positionH>
            <wp:positionV relativeFrom="paragraph">
              <wp:posOffset>254192</wp:posOffset>
            </wp:positionV>
            <wp:extent cx="2999105" cy="1502697"/>
            <wp:effectExtent l="0" t="0" r="0" b="2540"/>
            <wp:wrapNone/>
            <wp:docPr id="4" name="Picture 4" descr="C:\Users\Helen\AppData\Local\Microsoft\Windows\INetCache\Content.MSO\EF6015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AppData\Local\Microsoft\Windows\INetCache\Content.MSO\EF60156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5026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71D05" w14:textId="38C92E3E" w:rsidR="00C562EA" w:rsidRPr="00C562EA" w:rsidRDefault="00B822BA" w:rsidP="00C562EA">
      <w:pPr>
        <w:spacing w:line="300" w:lineRule="exact"/>
        <w:rPr>
          <w:rFonts w:cs="Times New Roman"/>
          <w:szCs w:val="24"/>
        </w:rPr>
      </w:pPr>
      <w:r w:rsidRPr="006E43D2">
        <w:rPr>
          <w:rFonts w:cs="Times New Roman"/>
          <w:noProof/>
          <w:szCs w:val="24"/>
          <w:lang w:val="en-US"/>
        </w:rPr>
        <w:drawing>
          <wp:anchor distT="0" distB="0" distL="114300" distR="114300" simplePos="0" relativeHeight="251663360" behindDoc="1" locked="0" layoutInCell="1" allowOverlap="1" wp14:anchorId="5CB32861" wp14:editId="6A9B049F">
            <wp:simplePos x="0" y="0"/>
            <wp:positionH relativeFrom="margin">
              <wp:posOffset>2993789</wp:posOffset>
            </wp:positionH>
            <wp:positionV relativeFrom="paragraph">
              <wp:posOffset>165883</wp:posOffset>
            </wp:positionV>
            <wp:extent cx="2965450" cy="927100"/>
            <wp:effectExtent l="0" t="0" r="6350" b="6350"/>
            <wp:wrapNone/>
            <wp:docPr id="6" name="Picture 6" descr="https://k-monitor.hu/img/logo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monitor.hu/img/logo_mai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0" cy="927100"/>
                    </a:xfrm>
                    <a:prstGeom prst="rect">
                      <a:avLst/>
                    </a:prstGeom>
                    <a:noFill/>
                    <a:ln>
                      <a:noFill/>
                    </a:ln>
                  </pic:spPr>
                </pic:pic>
              </a:graphicData>
            </a:graphic>
          </wp:anchor>
        </w:drawing>
      </w:r>
    </w:p>
    <w:p w14:paraId="298941CA" w14:textId="3139F4F5" w:rsidR="007B7690" w:rsidRPr="0073078D" w:rsidRDefault="007B7690" w:rsidP="008A79BB">
      <w:pPr>
        <w:pStyle w:val="Ttulo2"/>
        <w:jc w:val="center"/>
        <w:rPr>
          <w:sz w:val="36"/>
          <w:szCs w:val="36"/>
        </w:rPr>
      </w:pPr>
      <w:r w:rsidRPr="0073078D">
        <w:rPr>
          <w:sz w:val="36"/>
          <w:szCs w:val="36"/>
        </w:rPr>
        <w:lastRenderedPageBreak/>
        <w:t>Procurement</w:t>
      </w:r>
      <w:r w:rsidR="005F00D5" w:rsidRPr="0073078D">
        <w:rPr>
          <w:sz w:val="36"/>
          <w:szCs w:val="36"/>
        </w:rPr>
        <w:t xml:space="preserve"> Glossary T</w:t>
      </w:r>
      <w:r w:rsidRPr="0073078D">
        <w:rPr>
          <w:sz w:val="36"/>
          <w:szCs w:val="36"/>
        </w:rPr>
        <w:t>erms</w:t>
      </w:r>
    </w:p>
    <w:p w14:paraId="11ADAFC9" w14:textId="77777777" w:rsidR="007B7690" w:rsidRPr="0073078D" w:rsidRDefault="007B7690" w:rsidP="00435803">
      <w:pPr>
        <w:pStyle w:val="Ttulo2"/>
      </w:pPr>
    </w:p>
    <w:p w14:paraId="4F3D7DD9" w14:textId="77777777" w:rsidR="007B7690" w:rsidRPr="0073078D" w:rsidRDefault="007B7690" w:rsidP="008A79BB">
      <w:pPr>
        <w:pStyle w:val="Ttulo2"/>
      </w:pPr>
      <w:r w:rsidRPr="0073078D">
        <w:rPr>
          <w:rStyle w:val="Ttulo2Car"/>
        </w:rPr>
        <w:t>Abnormally Low Tenders</w:t>
      </w:r>
      <w:r w:rsidRPr="0073078D">
        <w:t xml:space="preserve"> </w:t>
      </w:r>
    </w:p>
    <w:p w14:paraId="0511C0C8" w14:textId="77777777" w:rsidR="008A79BB" w:rsidRPr="0073078D" w:rsidRDefault="008A79BB" w:rsidP="008A79BB">
      <w:pPr>
        <w:pStyle w:val="Sinespaciado"/>
      </w:pPr>
    </w:p>
    <w:p w14:paraId="151D6F0F" w14:textId="77777777" w:rsidR="007B7690" w:rsidRPr="0073078D" w:rsidRDefault="007B7690" w:rsidP="007B7690">
      <w:pPr>
        <w:rPr>
          <w:rFonts w:cstheme="minorHAnsi"/>
          <w:sz w:val="24"/>
          <w:szCs w:val="24"/>
        </w:rPr>
      </w:pPr>
      <w:r w:rsidRPr="0073078D">
        <w:rPr>
          <w:rFonts w:cstheme="minorHAnsi"/>
          <w:sz w:val="24"/>
          <w:szCs w:val="24"/>
        </w:rPr>
        <w:t xml:space="preserve">An abnormally low tender occurs when an economic operator offers a price that seems too low to cover the cost of the contract and therefore is doubted to be economically sustainable. </w:t>
      </w:r>
    </w:p>
    <w:p w14:paraId="253A40FB" w14:textId="77777777" w:rsidR="007B7690" w:rsidRPr="0073078D" w:rsidRDefault="007B7690" w:rsidP="007B7690">
      <w:pPr>
        <w:rPr>
          <w:rFonts w:cstheme="minorHAnsi"/>
          <w:sz w:val="24"/>
          <w:szCs w:val="24"/>
        </w:rPr>
      </w:pPr>
      <w:r w:rsidRPr="0073078D">
        <w:rPr>
          <w:rFonts w:cstheme="minorHAnsi"/>
          <w:sz w:val="24"/>
          <w:szCs w:val="24"/>
        </w:rPr>
        <w:t>This could be caused by:</w:t>
      </w:r>
    </w:p>
    <w:p w14:paraId="46DBAF4E" w14:textId="29484882" w:rsidR="007B7690" w:rsidRPr="0073078D" w:rsidRDefault="007B7690" w:rsidP="007B7690">
      <w:pPr>
        <w:pStyle w:val="Prrafodelista"/>
        <w:numPr>
          <w:ilvl w:val="0"/>
          <w:numId w:val="4"/>
        </w:numPr>
        <w:rPr>
          <w:rFonts w:cstheme="minorHAnsi"/>
          <w:sz w:val="24"/>
          <w:szCs w:val="24"/>
        </w:rPr>
      </w:pPr>
      <w:r w:rsidRPr="0073078D">
        <w:rPr>
          <w:rFonts w:cstheme="minorHAnsi"/>
          <w:sz w:val="24"/>
          <w:szCs w:val="24"/>
        </w:rPr>
        <w:t>New innovative technical solutions</w:t>
      </w:r>
      <w:r w:rsidR="00E82EE8">
        <w:rPr>
          <w:rFonts w:cstheme="minorHAnsi"/>
          <w:sz w:val="24"/>
          <w:szCs w:val="24"/>
        </w:rPr>
        <w:t>;</w:t>
      </w:r>
    </w:p>
    <w:p w14:paraId="74E1202B" w14:textId="55127B7E" w:rsidR="007B7690" w:rsidRPr="0073078D" w:rsidRDefault="007B7690" w:rsidP="007B7690">
      <w:pPr>
        <w:pStyle w:val="Prrafodelista"/>
        <w:numPr>
          <w:ilvl w:val="0"/>
          <w:numId w:val="4"/>
        </w:numPr>
        <w:rPr>
          <w:rFonts w:cstheme="minorHAnsi"/>
          <w:sz w:val="24"/>
          <w:szCs w:val="24"/>
        </w:rPr>
      </w:pPr>
      <w:r w:rsidRPr="0073078D">
        <w:rPr>
          <w:rFonts w:cstheme="minorHAnsi"/>
          <w:sz w:val="24"/>
          <w:szCs w:val="24"/>
        </w:rPr>
        <w:t>Particular circumstances to obtain supplies or subcontract tasks at favourable conditions</w:t>
      </w:r>
      <w:r w:rsidR="00E82EE8">
        <w:rPr>
          <w:rFonts w:cstheme="minorHAnsi"/>
          <w:sz w:val="24"/>
          <w:szCs w:val="24"/>
        </w:rPr>
        <w:t>;</w:t>
      </w:r>
    </w:p>
    <w:p w14:paraId="7B9C13D8" w14:textId="41186990" w:rsidR="007B7690" w:rsidRPr="0073078D" w:rsidRDefault="007B7690" w:rsidP="007B7690">
      <w:pPr>
        <w:pStyle w:val="Prrafodelista"/>
        <w:numPr>
          <w:ilvl w:val="0"/>
          <w:numId w:val="4"/>
        </w:numPr>
        <w:rPr>
          <w:rFonts w:cstheme="minorHAnsi"/>
          <w:sz w:val="24"/>
          <w:szCs w:val="24"/>
        </w:rPr>
      </w:pPr>
      <w:r w:rsidRPr="0073078D">
        <w:rPr>
          <w:rFonts w:cstheme="minorHAnsi"/>
          <w:sz w:val="24"/>
          <w:szCs w:val="24"/>
        </w:rPr>
        <w:t>Misunderstanding or misinterpretation of the requirements of the contracting authority</w:t>
      </w:r>
      <w:r w:rsidR="00E82EE8">
        <w:rPr>
          <w:rFonts w:cstheme="minorHAnsi"/>
          <w:sz w:val="24"/>
          <w:szCs w:val="24"/>
        </w:rPr>
        <w:t>;</w:t>
      </w:r>
    </w:p>
    <w:p w14:paraId="2DB239FC" w14:textId="60969C84" w:rsidR="007B7690" w:rsidRPr="0073078D" w:rsidRDefault="007B7690" w:rsidP="007B7690">
      <w:pPr>
        <w:pStyle w:val="Prrafodelista"/>
        <w:numPr>
          <w:ilvl w:val="0"/>
          <w:numId w:val="4"/>
        </w:numPr>
        <w:rPr>
          <w:rFonts w:cstheme="minorHAnsi"/>
          <w:sz w:val="24"/>
          <w:szCs w:val="24"/>
        </w:rPr>
      </w:pPr>
      <w:r w:rsidRPr="0073078D">
        <w:rPr>
          <w:rFonts w:cstheme="minorHAnsi"/>
          <w:sz w:val="24"/>
          <w:szCs w:val="24"/>
        </w:rPr>
        <w:t>Underestimation of risks</w:t>
      </w:r>
      <w:r w:rsidR="00E82EE8">
        <w:rPr>
          <w:rFonts w:cstheme="minorHAnsi"/>
          <w:sz w:val="24"/>
          <w:szCs w:val="24"/>
        </w:rPr>
        <w:t>;</w:t>
      </w:r>
    </w:p>
    <w:p w14:paraId="217EAF2D" w14:textId="0CFF60AD" w:rsidR="006B3F7D" w:rsidRDefault="006B3F7D" w:rsidP="006B3F7D">
      <w:pPr>
        <w:pStyle w:val="Prrafodelista"/>
        <w:numPr>
          <w:ilvl w:val="0"/>
          <w:numId w:val="4"/>
        </w:numPr>
        <w:rPr>
          <w:rFonts w:cstheme="minorHAnsi"/>
          <w:sz w:val="24"/>
          <w:szCs w:val="24"/>
        </w:rPr>
      </w:pPr>
      <w:r>
        <w:rPr>
          <w:rFonts w:cstheme="minorHAnsi"/>
          <w:sz w:val="24"/>
          <w:szCs w:val="24"/>
        </w:rPr>
        <w:t>P</w:t>
      </w:r>
      <w:r w:rsidRPr="006B3F7D">
        <w:rPr>
          <w:rFonts w:cstheme="minorHAnsi"/>
          <w:sz w:val="24"/>
          <w:szCs w:val="24"/>
        </w:rPr>
        <w:t>ossibility of the tenderer to obtain state aid</w:t>
      </w:r>
      <w:r w:rsidR="00E82EE8">
        <w:rPr>
          <w:rFonts w:cstheme="minorHAnsi"/>
          <w:sz w:val="24"/>
          <w:szCs w:val="24"/>
        </w:rPr>
        <w:t>;</w:t>
      </w:r>
    </w:p>
    <w:p w14:paraId="78AB95D8" w14:textId="3C2C95D4" w:rsidR="007B7690" w:rsidRPr="0073078D" w:rsidRDefault="007B7690" w:rsidP="007B7690">
      <w:pPr>
        <w:pStyle w:val="Prrafodelista"/>
        <w:numPr>
          <w:ilvl w:val="0"/>
          <w:numId w:val="4"/>
        </w:numPr>
        <w:rPr>
          <w:rFonts w:cstheme="minorHAnsi"/>
          <w:sz w:val="24"/>
          <w:szCs w:val="24"/>
        </w:rPr>
      </w:pPr>
      <w:r w:rsidRPr="0073078D">
        <w:rPr>
          <w:rFonts w:cstheme="minorHAnsi"/>
          <w:sz w:val="24"/>
          <w:szCs w:val="24"/>
        </w:rPr>
        <w:t>Non-compliance with social, labour</w:t>
      </w:r>
      <w:r w:rsidR="0073078D">
        <w:rPr>
          <w:rFonts w:cstheme="minorHAnsi"/>
          <w:sz w:val="24"/>
          <w:szCs w:val="24"/>
        </w:rPr>
        <w:t>,</w:t>
      </w:r>
      <w:r w:rsidRPr="0073078D">
        <w:rPr>
          <w:rFonts w:cstheme="minorHAnsi"/>
          <w:sz w:val="24"/>
          <w:szCs w:val="24"/>
        </w:rPr>
        <w:t xml:space="preserve"> and environmental laws</w:t>
      </w:r>
      <w:r w:rsidR="00E82EE8">
        <w:rPr>
          <w:rFonts w:cstheme="minorHAnsi"/>
          <w:sz w:val="24"/>
          <w:szCs w:val="24"/>
        </w:rPr>
        <w:t>;</w:t>
      </w:r>
    </w:p>
    <w:p w14:paraId="4DB076D5" w14:textId="52EEF7F8" w:rsidR="007B7690" w:rsidRPr="00E82EE8" w:rsidRDefault="007B7690" w:rsidP="007B7690">
      <w:pPr>
        <w:pStyle w:val="Prrafodelista"/>
        <w:numPr>
          <w:ilvl w:val="0"/>
          <w:numId w:val="4"/>
        </w:numPr>
        <w:rPr>
          <w:rFonts w:cstheme="minorHAnsi"/>
          <w:sz w:val="24"/>
          <w:szCs w:val="24"/>
        </w:rPr>
      </w:pPr>
      <w:r w:rsidRPr="0073078D">
        <w:rPr>
          <w:rFonts w:cstheme="minorHAnsi"/>
          <w:sz w:val="24"/>
          <w:szCs w:val="24"/>
        </w:rPr>
        <w:t>Deliberate strategy of an economic operator</w:t>
      </w:r>
      <w:r w:rsidR="00E82EE8">
        <w:rPr>
          <w:rFonts w:cstheme="minorHAnsi"/>
          <w:sz w:val="24"/>
          <w:szCs w:val="24"/>
        </w:rPr>
        <w:t>.</w:t>
      </w:r>
      <w:r w:rsidRPr="0073078D">
        <w:rPr>
          <w:rStyle w:val="Refdenotaalpie"/>
          <w:rFonts w:cstheme="minorHAnsi"/>
          <w:sz w:val="24"/>
          <w:szCs w:val="24"/>
        </w:rPr>
        <w:footnoteReference w:id="1"/>
      </w:r>
    </w:p>
    <w:p w14:paraId="05CBB714" w14:textId="2E942B84" w:rsidR="007B7690" w:rsidRPr="0073078D" w:rsidRDefault="007B7690" w:rsidP="007B7690">
      <w:pPr>
        <w:rPr>
          <w:rFonts w:cstheme="minorHAnsi"/>
          <w:sz w:val="24"/>
          <w:szCs w:val="24"/>
        </w:rPr>
      </w:pPr>
      <w:r w:rsidRPr="0073078D">
        <w:rPr>
          <w:rFonts w:cstheme="minorHAnsi"/>
          <w:sz w:val="24"/>
          <w:szCs w:val="24"/>
        </w:rPr>
        <w:t>Contracting authorities must ask economic operators for an explanation of the price or costs proposed in the tender where tenders appear to be abnormally low in relation to the works, supplies</w:t>
      </w:r>
      <w:r w:rsidR="0073078D">
        <w:rPr>
          <w:rFonts w:cstheme="minorHAnsi"/>
          <w:sz w:val="24"/>
          <w:szCs w:val="24"/>
        </w:rPr>
        <w:t>,</w:t>
      </w:r>
      <w:r w:rsidRPr="0073078D">
        <w:rPr>
          <w:rFonts w:cstheme="minorHAnsi"/>
          <w:sz w:val="24"/>
          <w:szCs w:val="24"/>
        </w:rPr>
        <w:t xml:space="preserve"> or services.</w:t>
      </w:r>
      <w:r w:rsidR="006B3F7D" w:rsidRPr="006B3F7D">
        <w:rPr>
          <w:rStyle w:val="TextonotapieCar"/>
          <w:rFonts w:cstheme="minorHAnsi"/>
          <w:sz w:val="24"/>
          <w:szCs w:val="24"/>
        </w:rPr>
        <w:t xml:space="preserve"> </w:t>
      </w:r>
      <w:r w:rsidR="006B3F7D" w:rsidRPr="0073078D">
        <w:rPr>
          <w:rStyle w:val="Refdenotaalpie"/>
          <w:rFonts w:cstheme="minorHAnsi"/>
          <w:sz w:val="24"/>
          <w:szCs w:val="24"/>
        </w:rPr>
        <w:footnoteReference w:id="2"/>
      </w:r>
    </w:p>
    <w:p w14:paraId="733B2ABE" w14:textId="34ABC48E" w:rsidR="007B7690" w:rsidRPr="0073078D" w:rsidRDefault="007B7690" w:rsidP="007B7690">
      <w:pPr>
        <w:rPr>
          <w:rFonts w:cstheme="minorHAnsi"/>
          <w:sz w:val="24"/>
          <w:szCs w:val="24"/>
        </w:rPr>
      </w:pPr>
      <w:r w:rsidRPr="0073078D">
        <w:rPr>
          <w:rFonts w:cstheme="minorHAnsi"/>
          <w:sz w:val="24"/>
          <w:szCs w:val="24"/>
        </w:rPr>
        <w:t>The economic operator must have the opportunity to explain why it was able to submit such a tender and cannot be automatically excluded without having had the opportunity to explain the bid in question</w:t>
      </w:r>
      <w:r w:rsidR="00E82EE8">
        <w:rPr>
          <w:rFonts w:cstheme="minorHAnsi"/>
          <w:sz w:val="24"/>
          <w:szCs w:val="24"/>
        </w:rPr>
        <w:t>.</w:t>
      </w:r>
      <w:r w:rsidRPr="0073078D">
        <w:rPr>
          <w:rStyle w:val="Refdenotaalpie"/>
          <w:rFonts w:cstheme="minorHAnsi"/>
          <w:sz w:val="24"/>
          <w:szCs w:val="24"/>
        </w:rPr>
        <w:footnoteReference w:id="3"/>
      </w:r>
    </w:p>
    <w:p w14:paraId="3FE3A8DE" w14:textId="3CA03ECC" w:rsidR="007B7690" w:rsidRPr="0073078D" w:rsidRDefault="007B7690" w:rsidP="007B7690">
      <w:pPr>
        <w:rPr>
          <w:rFonts w:cstheme="minorHAnsi"/>
          <w:sz w:val="24"/>
          <w:szCs w:val="24"/>
        </w:rPr>
      </w:pPr>
      <w:r w:rsidRPr="0073078D">
        <w:rPr>
          <w:rFonts w:cstheme="minorHAnsi"/>
          <w:sz w:val="24"/>
          <w:szCs w:val="24"/>
        </w:rPr>
        <w:t>It may only reject the tender where the evidence supplied does not satisfactorily account for the low level of price or costs proposed. The rejection of an abnormally low tender must be duly justified in the evaluation report</w:t>
      </w:r>
      <w:r w:rsidR="00E82EE8">
        <w:rPr>
          <w:rFonts w:cstheme="minorHAnsi"/>
          <w:sz w:val="24"/>
          <w:szCs w:val="24"/>
        </w:rPr>
        <w:t>.</w:t>
      </w:r>
      <w:r w:rsidRPr="0073078D">
        <w:rPr>
          <w:rStyle w:val="Refdenotaalpie"/>
          <w:rFonts w:cstheme="minorHAnsi"/>
          <w:sz w:val="24"/>
          <w:szCs w:val="24"/>
        </w:rPr>
        <w:footnoteReference w:id="4"/>
      </w:r>
    </w:p>
    <w:p w14:paraId="1BD23194" w14:textId="77777777" w:rsidR="007B7690" w:rsidRPr="0073078D" w:rsidRDefault="007B7690" w:rsidP="007B7690">
      <w:pPr>
        <w:rPr>
          <w:rFonts w:cstheme="minorHAnsi"/>
          <w:sz w:val="24"/>
          <w:szCs w:val="24"/>
        </w:rPr>
      </w:pPr>
    </w:p>
    <w:p w14:paraId="69C4C7F1" w14:textId="77777777" w:rsidR="007B7690" w:rsidRPr="0073078D" w:rsidRDefault="007B7690" w:rsidP="00C61D16">
      <w:pPr>
        <w:pStyle w:val="Ttulo2"/>
      </w:pPr>
      <w:r w:rsidRPr="0073078D">
        <w:t>Award</w:t>
      </w:r>
    </w:p>
    <w:p w14:paraId="3D3745D6" w14:textId="77777777" w:rsidR="007B7690" w:rsidRPr="0073078D" w:rsidRDefault="007B7690" w:rsidP="008A79BB">
      <w:pPr>
        <w:pStyle w:val="Sinespaciado"/>
      </w:pPr>
    </w:p>
    <w:p w14:paraId="0C7F020E" w14:textId="055626A5" w:rsidR="00C61D16" w:rsidRPr="0073078D" w:rsidRDefault="007B7690" w:rsidP="00C61D16">
      <w:pPr>
        <w:jc w:val="both"/>
        <w:rPr>
          <w:rFonts w:cstheme="minorHAnsi"/>
          <w:sz w:val="24"/>
          <w:szCs w:val="24"/>
        </w:rPr>
      </w:pPr>
      <w:r w:rsidRPr="0073078D">
        <w:rPr>
          <w:rFonts w:cstheme="minorHAnsi"/>
          <w:sz w:val="24"/>
          <w:szCs w:val="24"/>
        </w:rPr>
        <w:t xml:space="preserve">The issue of a contract to a selected </w:t>
      </w:r>
      <w:r w:rsidR="0073078D">
        <w:rPr>
          <w:rFonts w:cstheme="minorHAnsi"/>
          <w:sz w:val="24"/>
          <w:szCs w:val="24"/>
        </w:rPr>
        <w:t>c</w:t>
      </w:r>
      <w:r w:rsidRPr="0073078D">
        <w:rPr>
          <w:rFonts w:cstheme="minorHAnsi"/>
          <w:sz w:val="24"/>
          <w:szCs w:val="24"/>
        </w:rPr>
        <w:t>ompany or person.</w:t>
      </w:r>
    </w:p>
    <w:p w14:paraId="7F7E885B" w14:textId="77777777" w:rsidR="00C61D16" w:rsidRPr="0073078D" w:rsidRDefault="00C61D16" w:rsidP="00C61D16">
      <w:pPr>
        <w:jc w:val="both"/>
        <w:rPr>
          <w:rFonts w:cstheme="minorHAnsi"/>
          <w:sz w:val="24"/>
          <w:szCs w:val="24"/>
        </w:rPr>
      </w:pPr>
    </w:p>
    <w:p w14:paraId="4C961AB7" w14:textId="77777777" w:rsidR="00D40105" w:rsidRDefault="00D40105" w:rsidP="00C61D16">
      <w:pPr>
        <w:pStyle w:val="Ttulo2"/>
      </w:pPr>
    </w:p>
    <w:p w14:paraId="344210E2" w14:textId="5A6AC1B5" w:rsidR="007B7690" w:rsidRPr="0073078D" w:rsidRDefault="007B7690" w:rsidP="00C61D16">
      <w:pPr>
        <w:pStyle w:val="Ttulo2"/>
      </w:pPr>
      <w:r w:rsidRPr="0073078D">
        <w:t>Bid Rigging</w:t>
      </w:r>
    </w:p>
    <w:p w14:paraId="658E7176" w14:textId="77777777" w:rsidR="00C61D16" w:rsidRPr="0073078D" w:rsidRDefault="00C61D16" w:rsidP="00C61D16">
      <w:pPr>
        <w:pStyle w:val="Sinespaciado"/>
      </w:pPr>
    </w:p>
    <w:p w14:paraId="24A3A106" w14:textId="16450D14" w:rsidR="00F1054C" w:rsidRPr="0073078D" w:rsidRDefault="0073078D" w:rsidP="00F1054C">
      <w:pPr>
        <w:rPr>
          <w:rFonts w:cstheme="minorHAnsi"/>
          <w:color w:val="111111"/>
          <w:sz w:val="24"/>
          <w:szCs w:val="24"/>
          <w:shd w:val="clear" w:color="auto" w:fill="FFFFFF"/>
        </w:rPr>
      </w:pPr>
      <w:r>
        <w:rPr>
          <w:rFonts w:cstheme="minorHAnsi"/>
          <w:color w:val="111111"/>
          <w:sz w:val="24"/>
          <w:szCs w:val="24"/>
          <w:shd w:val="clear" w:color="auto" w:fill="FFFFFF"/>
        </w:rPr>
        <w:t xml:space="preserve">When </w:t>
      </w:r>
      <w:r w:rsidR="00B50BAE">
        <w:rPr>
          <w:rFonts w:cstheme="minorHAnsi"/>
          <w:color w:val="111111"/>
          <w:sz w:val="24"/>
          <w:szCs w:val="24"/>
          <w:shd w:val="clear" w:color="auto" w:fill="FFFFFF"/>
        </w:rPr>
        <w:t>Bid R</w:t>
      </w:r>
      <w:r>
        <w:rPr>
          <w:rFonts w:cstheme="minorHAnsi"/>
          <w:color w:val="111111"/>
          <w:sz w:val="24"/>
          <w:szCs w:val="24"/>
          <w:shd w:val="clear" w:color="auto" w:fill="FFFFFF"/>
        </w:rPr>
        <w:t xml:space="preserve">igging </w:t>
      </w:r>
      <w:r w:rsidR="00B50BAE">
        <w:rPr>
          <w:rFonts w:cstheme="minorHAnsi"/>
          <w:color w:val="111111"/>
          <w:sz w:val="24"/>
          <w:szCs w:val="24"/>
          <w:shd w:val="clear" w:color="auto" w:fill="FFFFFF"/>
        </w:rPr>
        <w:t xml:space="preserve">occurs competing parties </w:t>
      </w:r>
      <w:r w:rsidR="007B7690" w:rsidRPr="0073078D">
        <w:rPr>
          <w:rFonts w:cstheme="minorHAnsi"/>
          <w:color w:val="111111"/>
          <w:sz w:val="24"/>
          <w:szCs w:val="24"/>
          <w:shd w:val="clear" w:color="auto" w:fill="FFFFFF"/>
        </w:rPr>
        <w:t xml:space="preserve">collude to submit uncompetitive bids </w:t>
      </w:r>
      <w:r w:rsidR="00FC136B">
        <w:rPr>
          <w:rFonts w:cstheme="minorHAnsi"/>
          <w:color w:val="111111"/>
          <w:sz w:val="24"/>
          <w:szCs w:val="24"/>
          <w:shd w:val="clear" w:color="auto" w:fill="FFFFFF"/>
        </w:rPr>
        <w:t xml:space="preserve">in order to ensure that </w:t>
      </w:r>
      <w:r w:rsidR="007B7690" w:rsidRPr="0073078D">
        <w:rPr>
          <w:rFonts w:cstheme="minorHAnsi"/>
          <w:color w:val="111111"/>
          <w:sz w:val="24"/>
          <w:szCs w:val="24"/>
          <w:shd w:val="clear" w:color="auto" w:fill="FFFFFF"/>
        </w:rPr>
        <w:t xml:space="preserve">the contract </w:t>
      </w:r>
      <w:r w:rsidR="00FC136B">
        <w:rPr>
          <w:rFonts w:cstheme="minorHAnsi"/>
          <w:color w:val="111111"/>
          <w:sz w:val="24"/>
          <w:szCs w:val="24"/>
          <w:shd w:val="clear" w:color="auto" w:fill="FFFFFF"/>
        </w:rPr>
        <w:t xml:space="preserve">is awarded to on particular </w:t>
      </w:r>
      <w:r w:rsidR="007B7690" w:rsidRPr="0073078D">
        <w:rPr>
          <w:rFonts w:cstheme="minorHAnsi"/>
          <w:color w:val="111111"/>
          <w:sz w:val="24"/>
          <w:szCs w:val="24"/>
          <w:shd w:val="clear" w:color="auto" w:fill="FFFFFF"/>
        </w:rPr>
        <w:t>bidder</w:t>
      </w:r>
      <w:r w:rsidR="00FC136B">
        <w:rPr>
          <w:rFonts w:cstheme="minorHAnsi"/>
          <w:color w:val="111111"/>
          <w:sz w:val="24"/>
          <w:szCs w:val="24"/>
          <w:shd w:val="clear" w:color="auto" w:fill="FFFFFF"/>
        </w:rPr>
        <w:t xml:space="preserve">, often </w:t>
      </w:r>
      <w:r w:rsidR="007B7690" w:rsidRPr="0073078D">
        <w:rPr>
          <w:rFonts w:cstheme="minorHAnsi"/>
          <w:color w:val="111111"/>
          <w:sz w:val="24"/>
          <w:szCs w:val="24"/>
          <w:shd w:val="clear" w:color="auto" w:fill="FFFFFF"/>
        </w:rPr>
        <w:t>at a high price.</w:t>
      </w:r>
      <w:r w:rsidR="007B7690" w:rsidRPr="0073078D">
        <w:rPr>
          <w:rStyle w:val="Refdenotaalpie"/>
          <w:rFonts w:cstheme="minorHAnsi"/>
          <w:color w:val="111111"/>
          <w:sz w:val="24"/>
          <w:szCs w:val="24"/>
          <w:shd w:val="clear" w:color="auto" w:fill="FFFFFF"/>
        </w:rPr>
        <w:footnoteReference w:id="5"/>
      </w:r>
      <w:r w:rsidR="00FC136B">
        <w:rPr>
          <w:rFonts w:cstheme="minorHAnsi"/>
          <w:color w:val="111111"/>
          <w:sz w:val="24"/>
          <w:szCs w:val="24"/>
          <w:shd w:val="clear" w:color="auto" w:fill="FFFFFF"/>
        </w:rPr>
        <w:t xml:space="preserve"> In most </w:t>
      </w:r>
      <w:r w:rsidR="006B3F7D">
        <w:rPr>
          <w:rFonts w:cstheme="minorHAnsi"/>
          <w:color w:val="111111"/>
          <w:sz w:val="24"/>
          <w:szCs w:val="24"/>
          <w:shd w:val="clear" w:color="auto" w:fill="FFFFFF"/>
        </w:rPr>
        <w:t xml:space="preserve">or even all </w:t>
      </w:r>
      <w:r w:rsidR="00FC136B">
        <w:rPr>
          <w:rFonts w:cstheme="minorHAnsi"/>
          <w:color w:val="111111"/>
          <w:sz w:val="24"/>
          <w:szCs w:val="24"/>
          <w:shd w:val="clear" w:color="auto" w:fill="FFFFFF"/>
        </w:rPr>
        <w:t xml:space="preserve">legal systems, this is an illegal practice. </w:t>
      </w:r>
    </w:p>
    <w:p w14:paraId="34651EE6" w14:textId="59F5701A" w:rsidR="00F1054C" w:rsidRPr="0073078D" w:rsidRDefault="00CA01B0" w:rsidP="00F1054C">
      <w:pPr>
        <w:rPr>
          <w:rFonts w:cstheme="minorHAnsi"/>
          <w:color w:val="111111"/>
          <w:sz w:val="24"/>
          <w:szCs w:val="24"/>
          <w:shd w:val="clear" w:color="auto" w:fill="FFFFFF"/>
        </w:rPr>
      </w:pPr>
      <w:r>
        <w:rPr>
          <w:rFonts w:cstheme="minorHAnsi"/>
          <w:color w:val="111111"/>
          <w:sz w:val="24"/>
          <w:szCs w:val="24"/>
          <w:shd w:val="clear" w:color="auto" w:fill="FFFFFF"/>
        </w:rPr>
        <w:t xml:space="preserve"> </w:t>
      </w:r>
    </w:p>
    <w:p w14:paraId="265F2E7B" w14:textId="77777777" w:rsidR="00C61D16" w:rsidRPr="0073078D" w:rsidRDefault="007B7690" w:rsidP="00C61D16">
      <w:pPr>
        <w:pStyle w:val="Ttulo2"/>
      </w:pPr>
      <w:r w:rsidRPr="0073078D">
        <w:t>Bidder</w:t>
      </w:r>
    </w:p>
    <w:p w14:paraId="2C86DEC1" w14:textId="77777777" w:rsidR="00F1054C" w:rsidRPr="0073078D" w:rsidRDefault="00F1054C" w:rsidP="00F1054C">
      <w:pPr>
        <w:pStyle w:val="Sinespaciado"/>
      </w:pPr>
    </w:p>
    <w:p w14:paraId="4D1C632F" w14:textId="752CE07D" w:rsidR="007B7690" w:rsidRPr="0073078D" w:rsidRDefault="007B7690" w:rsidP="00C61D16">
      <w:pPr>
        <w:pStyle w:val="Sinespaciado"/>
        <w:rPr>
          <w:rFonts w:cstheme="minorHAnsi"/>
          <w:sz w:val="24"/>
          <w:szCs w:val="24"/>
        </w:rPr>
      </w:pPr>
      <w:r w:rsidRPr="0073078D">
        <w:rPr>
          <w:rFonts w:cstheme="minorHAnsi"/>
          <w:sz w:val="24"/>
          <w:szCs w:val="24"/>
        </w:rPr>
        <w:t>A</w:t>
      </w:r>
      <w:r w:rsidR="0073078D">
        <w:rPr>
          <w:rFonts w:cstheme="minorHAnsi"/>
          <w:sz w:val="24"/>
          <w:szCs w:val="24"/>
        </w:rPr>
        <w:t xml:space="preserve"> bidder is a</w:t>
      </w:r>
      <w:r w:rsidRPr="0073078D">
        <w:rPr>
          <w:rFonts w:cstheme="minorHAnsi"/>
          <w:sz w:val="24"/>
          <w:szCs w:val="24"/>
        </w:rPr>
        <w:t>n individual, organization</w:t>
      </w:r>
      <w:r w:rsidR="0073078D">
        <w:rPr>
          <w:rFonts w:cstheme="minorHAnsi"/>
          <w:sz w:val="24"/>
          <w:szCs w:val="24"/>
        </w:rPr>
        <w:t>,</w:t>
      </w:r>
      <w:r w:rsidRPr="0073078D">
        <w:rPr>
          <w:rFonts w:cstheme="minorHAnsi"/>
          <w:sz w:val="24"/>
          <w:szCs w:val="24"/>
        </w:rPr>
        <w:t xml:space="preserve"> or entity submitting a competitive proposal to an invitation to tender.</w:t>
      </w:r>
    </w:p>
    <w:p w14:paraId="5515F071" w14:textId="660D330A" w:rsidR="00F1054C" w:rsidRPr="0073078D" w:rsidRDefault="00B6774F" w:rsidP="00F1054C">
      <w:r>
        <w:t xml:space="preserve"> </w:t>
      </w:r>
    </w:p>
    <w:p w14:paraId="45B60E3F" w14:textId="77777777" w:rsidR="000D0AA7" w:rsidRPr="0073078D" w:rsidRDefault="000D0AA7" w:rsidP="00C61D16">
      <w:pPr>
        <w:pStyle w:val="Ttulo2"/>
      </w:pPr>
      <w:r w:rsidRPr="0073078D">
        <w:t>B</w:t>
      </w:r>
      <w:r w:rsidR="00435803" w:rsidRPr="0073078D">
        <w:t>idding</w:t>
      </w:r>
    </w:p>
    <w:p w14:paraId="744D4FA4" w14:textId="77777777" w:rsidR="00C61D16" w:rsidRPr="0073078D" w:rsidRDefault="00C61D16" w:rsidP="00C61D16">
      <w:pPr>
        <w:pStyle w:val="Sinespaciado"/>
      </w:pPr>
    </w:p>
    <w:p w14:paraId="54F52EBA" w14:textId="715AB51C" w:rsidR="000D0AA7" w:rsidRPr="0073078D" w:rsidRDefault="0073078D" w:rsidP="00C61D16">
      <w:pPr>
        <w:pStyle w:val="Sinespaciado"/>
        <w:rPr>
          <w:rFonts w:cstheme="minorHAnsi"/>
          <w:sz w:val="24"/>
          <w:szCs w:val="24"/>
        </w:rPr>
      </w:pPr>
      <w:r>
        <w:rPr>
          <w:rFonts w:cstheme="minorHAnsi"/>
          <w:sz w:val="24"/>
          <w:szCs w:val="24"/>
        </w:rPr>
        <w:t xml:space="preserve">Bidding is when a </w:t>
      </w:r>
      <w:r w:rsidR="006F052A" w:rsidRPr="0073078D">
        <w:rPr>
          <w:rFonts w:cstheme="minorHAnsi"/>
          <w:sz w:val="24"/>
          <w:szCs w:val="24"/>
        </w:rPr>
        <w:t xml:space="preserve">contract </w:t>
      </w:r>
      <w:r>
        <w:rPr>
          <w:rFonts w:cstheme="minorHAnsi"/>
          <w:sz w:val="24"/>
          <w:szCs w:val="24"/>
        </w:rPr>
        <w:t xml:space="preserve">is put </w:t>
      </w:r>
      <w:r w:rsidR="00936931">
        <w:rPr>
          <w:rFonts w:cstheme="minorHAnsi"/>
          <w:sz w:val="24"/>
          <w:szCs w:val="24"/>
        </w:rPr>
        <w:t xml:space="preserve">up for auction. </w:t>
      </w:r>
      <w:r w:rsidR="000D0AA7" w:rsidRPr="0073078D">
        <w:rPr>
          <w:rFonts w:cstheme="minorHAnsi"/>
          <w:sz w:val="24"/>
          <w:szCs w:val="24"/>
        </w:rPr>
        <w:t>Whenever a public authority needs to contract, they have to start a bidding process in which they publish the conditions for contracting and economic operators can submit their proposals.</w:t>
      </w:r>
    </w:p>
    <w:p w14:paraId="5D0E81FD" w14:textId="77777777" w:rsidR="000D0AA7" w:rsidRPr="0073078D" w:rsidRDefault="000D0AA7" w:rsidP="00F1054C"/>
    <w:p w14:paraId="109DC0BF" w14:textId="77777777" w:rsidR="007B7690" w:rsidRPr="0073078D" w:rsidRDefault="007B7690" w:rsidP="00C61D16">
      <w:pPr>
        <w:pStyle w:val="Ttulo2"/>
      </w:pPr>
      <w:r w:rsidRPr="0073078D">
        <w:t>Bodies governed by public law</w:t>
      </w:r>
    </w:p>
    <w:p w14:paraId="0EF82034" w14:textId="77777777" w:rsidR="00C61D16" w:rsidRPr="0073078D" w:rsidRDefault="00C61D16" w:rsidP="00C61D16">
      <w:pPr>
        <w:pStyle w:val="Sinespaciado"/>
      </w:pPr>
    </w:p>
    <w:p w14:paraId="5FF822EF" w14:textId="099239C1" w:rsidR="007B7690" w:rsidRPr="0073078D" w:rsidRDefault="00FC136B" w:rsidP="007B7690">
      <w:pPr>
        <w:rPr>
          <w:rFonts w:cstheme="minorHAnsi"/>
          <w:sz w:val="24"/>
          <w:szCs w:val="24"/>
        </w:rPr>
      </w:pPr>
      <w:r>
        <w:rPr>
          <w:rFonts w:cstheme="minorHAnsi"/>
          <w:sz w:val="24"/>
          <w:szCs w:val="24"/>
        </w:rPr>
        <w:t>Public law b</w:t>
      </w:r>
      <w:r w:rsidR="007B7690" w:rsidRPr="0073078D">
        <w:rPr>
          <w:rFonts w:cstheme="minorHAnsi"/>
          <w:sz w:val="24"/>
          <w:szCs w:val="24"/>
        </w:rPr>
        <w:t xml:space="preserve">odies </w:t>
      </w:r>
      <w:r>
        <w:rPr>
          <w:rFonts w:cstheme="minorHAnsi"/>
          <w:sz w:val="24"/>
          <w:szCs w:val="24"/>
        </w:rPr>
        <w:t xml:space="preserve">are those </w:t>
      </w:r>
      <w:r w:rsidR="007B7690" w:rsidRPr="0073078D">
        <w:rPr>
          <w:rFonts w:cstheme="minorHAnsi"/>
          <w:sz w:val="24"/>
          <w:szCs w:val="24"/>
        </w:rPr>
        <w:t xml:space="preserve">that have all of the following characteristics: </w:t>
      </w:r>
    </w:p>
    <w:p w14:paraId="4D6125EE" w14:textId="77777777" w:rsidR="007B7690" w:rsidRPr="0073078D" w:rsidRDefault="007B7690" w:rsidP="007B7690">
      <w:pPr>
        <w:pStyle w:val="Prrafodelista"/>
        <w:numPr>
          <w:ilvl w:val="0"/>
          <w:numId w:val="7"/>
        </w:numPr>
        <w:rPr>
          <w:rFonts w:cstheme="minorHAnsi"/>
          <w:sz w:val="24"/>
          <w:szCs w:val="24"/>
        </w:rPr>
      </w:pPr>
      <w:r w:rsidRPr="0073078D">
        <w:rPr>
          <w:rFonts w:cstheme="minorHAnsi"/>
          <w:sz w:val="24"/>
          <w:szCs w:val="24"/>
        </w:rPr>
        <w:t xml:space="preserve">they are established for the specific purpose of meeting needs in the general interest, not having an industrial or commercial character; </w:t>
      </w:r>
    </w:p>
    <w:p w14:paraId="22F90603" w14:textId="77777777" w:rsidR="007B7690" w:rsidRPr="0073078D" w:rsidRDefault="007B7690" w:rsidP="007B7690">
      <w:pPr>
        <w:pStyle w:val="Prrafodelista"/>
        <w:numPr>
          <w:ilvl w:val="0"/>
          <w:numId w:val="7"/>
        </w:numPr>
        <w:rPr>
          <w:rFonts w:cstheme="minorHAnsi"/>
          <w:sz w:val="24"/>
          <w:szCs w:val="24"/>
        </w:rPr>
      </w:pPr>
      <w:r w:rsidRPr="0073078D">
        <w:rPr>
          <w:rFonts w:cstheme="minorHAnsi"/>
          <w:sz w:val="24"/>
          <w:szCs w:val="24"/>
        </w:rPr>
        <w:t xml:space="preserve">they have legal personality; and </w:t>
      </w:r>
    </w:p>
    <w:p w14:paraId="46685FCE" w14:textId="77777777" w:rsidR="007B7690" w:rsidRPr="0073078D" w:rsidRDefault="007B7690" w:rsidP="007B7690">
      <w:pPr>
        <w:pStyle w:val="Prrafodelista"/>
        <w:numPr>
          <w:ilvl w:val="0"/>
          <w:numId w:val="7"/>
        </w:numPr>
        <w:rPr>
          <w:rFonts w:cstheme="minorHAnsi"/>
          <w:sz w:val="24"/>
          <w:szCs w:val="24"/>
        </w:rPr>
      </w:pPr>
      <w:r w:rsidRPr="0073078D">
        <w:rPr>
          <w:rFonts w:cstheme="minorHAnsi"/>
          <w:sz w:val="24"/>
          <w:szCs w:val="24"/>
        </w:rPr>
        <w:t>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r w:rsidRPr="0073078D">
        <w:rPr>
          <w:rStyle w:val="Refdenotaalpie"/>
          <w:rFonts w:cstheme="minorHAnsi"/>
          <w:sz w:val="24"/>
          <w:szCs w:val="24"/>
        </w:rPr>
        <w:footnoteReference w:id="6"/>
      </w:r>
    </w:p>
    <w:p w14:paraId="2D303CF3" w14:textId="77777777" w:rsidR="00435803" w:rsidRPr="0073078D" w:rsidRDefault="00435803" w:rsidP="008A02CC"/>
    <w:p w14:paraId="4E1E1D1C" w14:textId="1A4F3135" w:rsidR="00D40105" w:rsidRDefault="00D40105" w:rsidP="008A02CC">
      <w:pPr>
        <w:pStyle w:val="Ttulo2"/>
      </w:pPr>
    </w:p>
    <w:p w14:paraId="6B1F7A1F" w14:textId="77777777" w:rsidR="00D05ADA" w:rsidRPr="00D05ADA" w:rsidRDefault="00D05ADA" w:rsidP="00D05ADA"/>
    <w:p w14:paraId="3B772072" w14:textId="7384F0FD" w:rsidR="008A02CC" w:rsidRPr="0073078D" w:rsidRDefault="008A02CC" w:rsidP="008A02CC">
      <w:pPr>
        <w:pStyle w:val="Ttulo2"/>
      </w:pPr>
      <w:r w:rsidRPr="0073078D">
        <w:lastRenderedPageBreak/>
        <w:t>Competitive Dialogue</w:t>
      </w:r>
    </w:p>
    <w:p w14:paraId="64248D9A" w14:textId="77777777" w:rsidR="008A02CC" w:rsidRPr="0073078D" w:rsidRDefault="008A02CC" w:rsidP="008A02CC">
      <w:pPr>
        <w:pStyle w:val="Sinespaciado"/>
      </w:pPr>
    </w:p>
    <w:p w14:paraId="69594521" w14:textId="77777777" w:rsidR="008A02CC" w:rsidRPr="0073078D" w:rsidRDefault="008A02CC" w:rsidP="008A02CC">
      <w:pPr>
        <w:rPr>
          <w:rFonts w:cstheme="minorHAnsi"/>
          <w:sz w:val="24"/>
          <w:szCs w:val="24"/>
        </w:rPr>
      </w:pPr>
      <w:r w:rsidRPr="0073078D">
        <w:rPr>
          <w:rFonts w:cstheme="minorHAnsi"/>
          <w:sz w:val="24"/>
          <w:szCs w:val="24"/>
        </w:rPr>
        <w:t>The competitive dialogue procedure aims to provide a certain amount of flexibility for particularly complex purchases. As with competitive procedure with negotiation, this process is only allowed in certain circumstances and the contracting authority must justify its use.</w:t>
      </w:r>
    </w:p>
    <w:p w14:paraId="20BDEA51" w14:textId="2A6696DE" w:rsidR="008A02CC" w:rsidRPr="0073078D" w:rsidRDefault="008A02CC" w:rsidP="008A02CC">
      <w:pPr>
        <w:rPr>
          <w:rFonts w:cstheme="minorHAnsi"/>
          <w:sz w:val="24"/>
          <w:szCs w:val="24"/>
        </w:rPr>
      </w:pPr>
      <w:r>
        <w:rPr>
          <w:rFonts w:cstheme="minorHAnsi"/>
          <w:sz w:val="24"/>
          <w:szCs w:val="24"/>
        </w:rPr>
        <w:t xml:space="preserve">A selection is made of those who respond to the </w:t>
      </w:r>
      <w:r w:rsidR="005E7785">
        <w:rPr>
          <w:rFonts w:cstheme="minorHAnsi"/>
          <w:sz w:val="24"/>
          <w:szCs w:val="24"/>
        </w:rPr>
        <w:t>call for tender</w:t>
      </w:r>
      <w:r>
        <w:rPr>
          <w:rFonts w:cstheme="minorHAnsi"/>
          <w:sz w:val="24"/>
          <w:szCs w:val="24"/>
        </w:rPr>
        <w:t xml:space="preserve"> </w:t>
      </w:r>
      <w:r w:rsidRPr="004972C7">
        <w:rPr>
          <w:rFonts w:cstheme="minorHAnsi"/>
          <w:sz w:val="24"/>
          <w:szCs w:val="24"/>
        </w:rPr>
        <w:t xml:space="preserve">and the contracting authority </w:t>
      </w:r>
      <w:r>
        <w:rPr>
          <w:rFonts w:cstheme="minorHAnsi"/>
          <w:sz w:val="24"/>
          <w:szCs w:val="24"/>
        </w:rPr>
        <w:t>begins</w:t>
      </w:r>
      <w:r w:rsidRPr="004972C7">
        <w:rPr>
          <w:rFonts w:cstheme="minorHAnsi"/>
          <w:sz w:val="24"/>
          <w:szCs w:val="24"/>
        </w:rPr>
        <w:t xml:space="preserve"> dialogue with po</w:t>
      </w:r>
      <w:r>
        <w:rPr>
          <w:rFonts w:cstheme="minorHAnsi"/>
          <w:sz w:val="24"/>
          <w:szCs w:val="24"/>
        </w:rPr>
        <w:t xml:space="preserve">tential bidders, to develop one </w:t>
      </w:r>
      <w:r w:rsidRPr="004972C7">
        <w:rPr>
          <w:rFonts w:cstheme="minorHAnsi"/>
          <w:sz w:val="24"/>
          <w:szCs w:val="24"/>
        </w:rPr>
        <w:t>or more suitable</w:t>
      </w:r>
      <w:r>
        <w:rPr>
          <w:rFonts w:cstheme="minorHAnsi"/>
          <w:sz w:val="24"/>
          <w:szCs w:val="24"/>
        </w:rPr>
        <w:t xml:space="preserve"> solutions for its requirements. Based on this, </w:t>
      </w:r>
      <w:r w:rsidRPr="004972C7">
        <w:rPr>
          <w:rFonts w:cstheme="minorHAnsi"/>
          <w:sz w:val="24"/>
          <w:szCs w:val="24"/>
        </w:rPr>
        <w:t>chosen bidders will be invited to tender</w:t>
      </w:r>
      <w:r w:rsidR="005E7785">
        <w:rPr>
          <w:rFonts w:cstheme="minorHAnsi"/>
          <w:sz w:val="24"/>
          <w:szCs w:val="24"/>
        </w:rPr>
        <w:t>.</w:t>
      </w:r>
      <w:r>
        <w:rPr>
          <w:rStyle w:val="Refdenotaalpie"/>
          <w:rFonts w:cstheme="minorHAnsi"/>
          <w:sz w:val="24"/>
          <w:szCs w:val="24"/>
        </w:rPr>
        <w:footnoteReference w:id="7"/>
      </w:r>
    </w:p>
    <w:p w14:paraId="30D2EB69" w14:textId="77777777" w:rsidR="008A02CC" w:rsidRPr="0073078D" w:rsidRDefault="008A02CC" w:rsidP="008A02CC">
      <w:pPr>
        <w:pStyle w:val="Prrafodelista"/>
        <w:numPr>
          <w:ilvl w:val="0"/>
          <w:numId w:val="3"/>
        </w:numPr>
        <w:rPr>
          <w:rFonts w:cstheme="minorHAnsi"/>
          <w:sz w:val="24"/>
          <w:szCs w:val="24"/>
        </w:rPr>
      </w:pPr>
      <w:r w:rsidRPr="0073078D">
        <w:rPr>
          <w:rFonts w:cstheme="minorHAnsi"/>
          <w:sz w:val="24"/>
          <w:szCs w:val="24"/>
        </w:rPr>
        <w:t xml:space="preserve">Prequalification – Any economic operator may submit a request to participate in response to a </w:t>
      </w:r>
      <w:r>
        <w:rPr>
          <w:rFonts w:cstheme="minorHAnsi"/>
          <w:sz w:val="24"/>
          <w:szCs w:val="24"/>
        </w:rPr>
        <w:t>call for tender</w:t>
      </w:r>
      <w:r w:rsidRPr="0073078D">
        <w:rPr>
          <w:rFonts w:cstheme="minorHAnsi"/>
          <w:sz w:val="24"/>
          <w:szCs w:val="24"/>
        </w:rPr>
        <w:t xml:space="preserve"> by providing the information for qualitative selection that is requested by the contracting authority.</w:t>
      </w:r>
      <w:r w:rsidRPr="0073078D">
        <w:rPr>
          <w:rStyle w:val="Refdenotaalpie"/>
          <w:rFonts w:cstheme="minorHAnsi"/>
          <w:sz w:val="24"/>
          <w:szCs w:val="24"/>
        </w:rPr>
        <w:footnoteReference w:id="8"/>
      </w:r>
      <w:r w:rsidRPr="0073078D">
        <w:rPr>
          <w:rFonts w:cstheme="minorHAnsi"/>
          <w:sz w:val="24"/>
          <w:szCs w:val="24"/>
        </w:rPr>
        <w:t xml:space="preserve"> At least three economic operators are shortlisted based on their capacity to perform the contract.</w:t>
      </w:r>
    </w:p>
    <w:p w14:paraId="269DE7A6" w14:textId="77777777" w:rsidR="008A02CC" w:rsidRPr="0073078D" w:rsidRDefault="008A02CC" w:rsidP="008A02CC">
      <w:pPr>
        <w:pStyle w:val="Prrafodelista"/>
        <w:rPr>
          <w:rFonts w:cstheme="minorHAnsi"/>
          <w:sz w:val="24"/>
          <w:szCs w:val="24"/>
        </w:rPr>
      </w:pPr>
    </w:p>
    <w:p w14:paraId="12CC903E" w14:textId="77777777" w:rsidR="008A02CC" w:rsidRPr="0073078D" w:rsidRDefault="008A02CC" w:rsidP="008A02CC">
      <w:pPr>
        <w:pStyle w:val="Prrafodelista"/>
        <w:numPr>
          <w:ilvl w:val="0"/>
          <w:numId w:val="3"/>
        </w:numPr>
        <w:rPr>
          <w:rFonts w:cstheme="minorHAnsi"/>
          <w:sz w:val="24"/>
          <w:szCs w:val="24"/>
        </w:rPr>
      </w:pPr>
      <w:r w:rsidRPr="0073078D">
        <w:rPr>
          <w:rFonts w:cstheme="minorHAnsi"/>
          <w:sz w:val="24"/>
          <w:szCs w:val="24"/>
        </w:rPr>
        <w:t>Dialogue - The contracting authority then issues the invitation to participate only to the shortlisted economic operators, and enters into a competitive dialogue phase with them.</w:t>
      </w:r>
    </w:p>
    <w:p w14:paraId="4CC65232" w14:textId="77777777" w:rsidR="008A02CC" w:rsidRPr="0073078D" w:rsidRDefault="008A02CC" w:rsidP="008A02CC">
      <w:pPr>
        <w:pStyle w:val="Prrafodelista"/>
        <w:rPr>
          <w:rFonts w:cstheme="minorHAnsi"/>
          <w:sz w:val="24"/>
          <w:szCs w:val="24"/>
        </w:rPr>
      </w:pPr>
    </w:p>
    <w:p w14:paraId="6F4C206D" w14:textId="77777777" w:rsidR="008A02CC" w:rsidRPr="0073078D" w:rsidRDefault="008A02CC" w:rsidP="008A02CC">
      <w:pPr>
        <w:pStyle w:val="Prrafodelista"/>
        <w:numPr>
          <w:ilvl w:val="0"/>
          <w:numId w:val="3"/>
        </w:numPr>
        <w:rPr>
          <w:rFonts w:cstheme="minorHAnsi"/>
          <w:sz w:val="24"/>
          <w:szCs w:val="24"/>
        </w:rPr>
      </w:pPr>
      <w:r w:rsidRPr="0073078D">
        <w:rPr>
          <w:rFonts w:cstheme="minorHAnsi"/>
          <w:sz w:val="24"/>
          <w:szCs w:val="24"/>
        </w:rPr>
        <w:t xml:space="preserve">Selection and evaluation - Once the contracting authority is confident that it will receive </w:t>
      </w:r>
    </w:p>
    <w:p w14:paraId="5684F4C0" w14:textId="371D4161" w:rsidR="008A02CC" w:rsidRPr="0073078D" w:rsidRDefault="008A02CC" w:rsidP="008A02CC">
      <w:pPr>
        <w:pStyle w:val="Prrafodelista"/>
        <w:rPr>
          <w:rFonts w:cstheme="minorHAnsi"/>
          <w:sz w:val="24"/>
          <w:szCs w:val="24"/>
        </w:rPr>
      </w:pPr>
      <w:r w:rsidRPr="0073078D">
        <w:rPr>
          <w:rFonts w:cstheme="minorHAnsi"/>
          <w:sz w:val="24"/>
          <w:szCs w:val="24"/>
        </w:rPr>
        <w:t xml:space="preserve">satisfactory proposals, it invites the economic operators to submit their </w:t>
      </w:r>
      <w:r w:rsidR="00376F92" w:rsidRPr="0073078D">
        <w:rPr>
          <w:rFonts w:cstheme="minorHAnsi"/>
          <w:sz w:val="24"/>
          <w:szCs w:val="24"/>
        </w:rPr>
        <w:t>tenders, which</w:t>
      </w:r>
      <w:r w:rsidRPr="0073078D">
        <w:rPr>
          <w:rFonts w:cstheme="minorHAnsi"/>
          <w:sz w:val="24"/>
          <w:szCs w:val="24"/>
        </w:rPr>
        <w:t xml:space="preserve"> will be evaluated on the basis of the most economically advantageous.</w:t>
      </w:r>
      <w:r w:rsidRPr="0073078D">
        <w:rPr>
          <w:rStyle w:val="Refdenotaalpie"/>
          <w:rFonts w:cstheme="minorHAnsi"/>
          <w:sz w:val="24"/>
          <w:szCs w:val="24"/>
        </w:rPr>
        <w:footnoteReference w:id="9"/>
      </w:r>
    </w:p>
    <w:p w14:paraId="45AE4D08" w14:textId="77777777" w:rsidR="008A02CC" w:rsidRPr="0073078D" w:rsidRDefault="008A02CC" w:rsidP="008A02CC">
      <w:pPr>
        <w:rPr>
          <w:rFonts w:cstheme="minorHAnsi"/>
          <w:sz w:val="24"/>
          <w:szCs w:val="24"/>
        </w:rPr>
      </w:pPr>
    </w:p>
    <w:p w14:paraId="4ACDF93B" w14:textId="60BB672E" w:rsidR="008A02CC" w:rsidRPr="0073078D" w:rsidRDefault="008A02CC" w:rsidP="008A02CC">
      <w:pPr>
        <w:pStyle w:val="Ttulo2"/>
      </w:pPr>
      <w:r w:rsidRPr="0073078D">
        <w:t xml:space="preserve">Competitive Procedure </w:t>
      </w:r>
      <w:r w:rsidR="00376F92" w:rsidRPr="0073078D">
        <w:t>with</w:t>
      </w:r>
      <w:r w:rsidRPr="0073078D">
        <w:t> Negotiation</w:t>
      </w:r>
    </w:p>
    <w:p w14:paraId="5ADF37A8" w14:textId="77777777" w:rsidR="008A02CC" w:rsidRPr="0073078D" w:rsidRDefault="008A02CC" w:rsidP="008A02CC">
      <w:pPr>
        <w:pStyle w:val="Sinespaciado"/>
        <w:rPr>
          <w:rFonts w:cstheme="minorHAnsi"/>
          <w:sz w:val="24"/>
          <w:szCs w:val="24"/>
        </w:rPr>
      </w:pPr>
    </w:p>
    <w:p w14:paraId="4066FF19" w14:textId="2B5A8B57" w:rsidR="008A02CC" w:rsidRPr="0073078D" w:rsidRDefault="008A02CC" w:rsidP="008A02CC">
      <w:pPr>
        <w:rPr>
          <w:rFonts w:cstheme="minorHAnsi"/>
          <w:sz w:val="24"/>
          <w:szCs w:val="24"/>
        </w:rPr>
      </w:pPr>
      <w:r w:rsidRPr="0073078D">
        <w:rPr>
          <w:rFonts w:cstheme="minorHAnsi"/>
          <w:sz w:val="24"/>
          <w:szCs w:val="24"/>
        </w:rPr>
        <w:t>Th</w:t>
      </w:r>
      <w:r>
        <w:rPr>
          <w:rFonts w:cstheme="minorHAnsi"/>
          <w:sz w:val="24"/>
          <w:szCs w:val="24"/>
        </w:rPr>
        <w:t xml:space="preserve">e Competitive </w:t>
      </w:r>
      <w:r w:rsidR="00376F92">
        <w:rPr>
          <w:rFonts w:cstheme="minorHAnsi"/>
          <w:sz w:val="24"/>
          <w:szCs w:val="24"/>
        </w:rPr>
        <w:t xml:space="preserve">Procedure </w:t>
      </w:r>
      <w:r w:rsidR="00376F92" w:rsidRPr="0073078D">
        <w:rPr>
          <w:rFonts w:cstheme="minorHAnsi"/>
          <w:sz w:val="24"/>
          <w:szCs w:val="24"/>
        </w:rPr>
        <w:t>process</w:t>
      </w:r>
      <w:r w:rsidRPr="0073078D">
        <w:rPr>
          <w:rFonts w:cstheme="minorHAnsi"/>
          <w:sz w:val="24"/>
          <w:szCs w:val="24"/>
        </w:rPr>
        <w:t xml:space="preserve"> is only allowed in certain circumstances and the contracting authority must justify its use. </w:t>
      </w:r>
    </w:p>
    <w:p w14:paraId="4A553E78" w14:textId="77777777" w:rsidR="008A02CC" w:rsidRPr="005E7785" w:rsidRDefault="008A02CC" w:rsidP="008A02CC">
      <w:pPr>
        <w:rPr>
          <w:rFonts w:cstheme="minorHAnsi"/>
          <w:sz w:val="24"/>
          <w:szCs w:val="24"/>
        </w:rPr>
      </w:pPr>
      <w:r w:rsidRPr="0073078D">
        <w:rPr>
          <w:rFonts w:cstheme="minorHAnsi"/>
          <w:sz w:val="24"/>
          <w:szCs w:val="24"/>
        </w:rPr>
        <w:t xml:space="preserve">It involves shortlisting at least three candidates </w:t>
      </w:r>
      <w:r w:rsidRPr="005E7785">
        <w:rPr>
          <w:rFonts w:cstheme="minorHAnsi"/>
          <w:sz w:val="24"/>
          <w:szCs w:val="24"/>
        </w:rPr>
        <w:t xml:space="preserve">who responded to the call for tender in the OJEU and only those shortlisted are invited to submit an initial tender and then negotiate. </w:t>
      </w:r>
      <w:r w:rsidRPr="005E7785">
        <w:rPr>
          <w:sz w:val="24"/>
          <w:szCs w:val="24"/>
        </w:rPr>
        <w:t>The contracting authority may then open negotiations with the tenderers to seek improved offers.</w:t>
      </w:r>
      <w:r w:rsidRPr="005E7785">
        <w:rPr>
          <w:rStyle w:val="Refdenotaalpie"/>
          <w:sz w:val="24"/>
          <w:szCs w:val="24"/>
        </w:rPr>
        <w:footnoteReference w:id="10"/>
      </w:r>
    </w:p>
    <w:p w14:paraId="434A5A02" w14:textId="31F2E9AE" w:rsidR="008A02CC" w:rsidRPr="0073078D" w:rsidRDefault="008A02CC" w:rsidP="008A02CC">
      <w:pPr>
        <w:pStyle w:val="Prrafodelista"/>
        <w:numPr>
          <w:ilvl w:val="0"/>
          <w:numId w:val="2"/>
        </w:numPr>
        <w:rPr>
          <w:rFonts w:cstheme="minorHAnsi"/>
          <w:sz w:val="24"/>
          <w:szCs w:val="24"/>
        </w:rPr>
      </w:pPr>
      <w:r w:rsidRPr="0073078D">
        <w:rPr>
          <w:rFonts w:cstheme="minorHAnsi"/>
          <w:sz w:val="24"/>
          <w:szCs w:val="24"/>
        </w:rPr>
        <w:t xml:space="preserve">Prequalification - the contracting authority publishes a contract notice and all interested economic operators may ask to participate in the procedure. To do so, they must </w:t>
      </w:r>
      <w:r w:rsidRPr="0073078D">
        <w:rPr>
          <w:rFonts w:cstheme="minorHAnsi"/>
          <w:sz w:val="24"/>
          <w:szCs w:val="24"/>
        </w:rPr>
        <w:lastRenderedPageBreak/>
        <w:t>demonstrate that they are qualif</w:t>
      </w:r>
      <w:r w:rsidR="005E7785">
        <w:rPr>
          <w:rFonts w:cstheme="minorHAnsi"/>
          <w:sz w:val="24"/>
          <w:szCs w:val="24"/>
        </w:rPr>
        <w:t xml:space="preserve">ied to perform the contract by </w:t>
      </w:r>
      <w:r w:rsidRPr="0073078D">
        <w:rPr>
          <w:rFonts w:cstheme="minorHAnsi"/>
          <w:sz w:val="24"/>
          <w:szCs w:val="24"/>
        </w:rPr>
        <w:t xml:space="preserve">providing the information for qualitative selection that is requested by the contracting </w:t>
      </w:r>
      <w:r w:rsidRPr="005E7785">
        <w:rPr>
          <w:rFonts w:cstheme="minorHAnsi"/>
          <w:sz w:val="24"/>
          <w:szCs w:val="24"/>
        </w:rPr>
        <w:t>authority</w:t>
      </w:r>
      <w:r w:rsidR="005E7785" w:rsidRPr="005E7785">
        <w:rPr>
          <w:rFonts w:cstheme="minorHAnsi"/>
          <w:sz w:val="24"/>
          <w:szCs w:val="24"/>
        </w:rPr>
        <w:t>.</w:t>
      </w:r>
      <w:r w:rsidRPr="005E7785">
        <w:rPr>
          <w:rStyle w:val="Refdenotaalpie"/>
          <w:rFonts w:cstheme="minorHAnsi"/>
          <w:sz w:val="24"/>
          <w:szCs w:val="24"/>
        </w:rPr>
        <w:footnoteReference w:id="11"/>
      </w:r>
    </w:p>
    <w:p w14:paraId="166BE575" w14:textId="77777777" w:rsidR="008A02CC" w:rsidRPr="0073078D" w:rsidRDefault="008A02CC" w:rsidP="008A02CC">
      <w:pPr>
        <w:pStyle w:val="Prrafodelista"/>
        <w:rPr>
          <w:rFonts w:cstheme="minorHAnsi"/>
          <w:sz w:val="24"/>
          <w:szCs w:val="24"/>
        </w:rPr>
      </w:pPr>
    </w:p>
    <w:p w14:paraId="444E6E1B" w14:textId="6329DE5E" w:rsidR="008A02CC" w:rsidRPr="0073078D" w:rsidRDefault="00376F92" w:rsidP="008A02CC">
      <w:pPr>
        <w:pStyle w:val="Prrafodelista"/>
        <w:numPr>
          <w:ilvl w:val="0"/>
          <w:numId w:val="2"/>
        </w:numPr>
        <w:rPr>
          <w:rFonts w:cstheme="minorHAnsi"/>
          <w:sz w:val="24"/>
          <w:szCs w:val="24"/>
        </w:rPr>
      </w:pPr>
      <w:r>
        <w:rPr>
          <w:rFonts w:cstheme="minorHAnsi"/>
          <w:sz w:val="24"/>
          <w:szCs w:val="24"/>
        </w:rPr>
        <w:t xml:space="preserve">Evaluation - </w:t>
      </w:r>
      <w:r w:rsidR="008A02CC" w:rsidRPr="0073078D">
        <w:rPr>
          <w:rFonts w:cstheme="minorHAnsi"/>
          <w:sz w:val="24"/>
          <w:szCs w:val="24"/>
        </w:rPr>
        <w:t xml:space="preserve">The contracting authority may then choose at least three candidates and invite them to submit an initial tender as </w:t>
      </w:r>
      <w:r w:rsidR="005E7785">
        <w:rPr>
          <w:rFonts w:cstheme="minorHAnsi"/>
          <w:sz w:val="24"/>
          <w:szCs w:val="24"/>
        </w:rPr>
        <w:t xml:space="preserve">a </w:t>
      </w:r>
      <w:r w:rsidR="008A02CC" w:rsidRPr="0073078D">
        <w:rPr>
          <w:rFonts w:cstheme="minorHAnsi"/>
          <w:sz w:val="24"/>
          <w:szCs w:val="24"/>
        </w:rPr>
        <w:t xml:space="preserve">basis for subsequent negotiation. </w:t>
      </w:r>
    </w:p>
    <w:p w14:paraId="0FE2C8EB" w14:textId="77777777" w:rsidR="008A02CC" w:rsidRPr="0073078D" w:rsidRDefault="008A02CC" w:rsidP="008A02CC">
      <w:pPr>
        <w:pStyle w:val="Prrafodelista"/>
        <w:rPr>
          <w:rFonts w:cstheme="minorHAnsi"/>
          <w:sz w:val="24"/>
          <w:szCs w:val="24"/>
        </w:rPr>
      </w:pPr>
    </w:p>
    <w:p w14:paraId="0A42A150" w14:textId="46401446" w:rsidR="008A02CC" w:rsidRPr="0073078D" w:rsidRDefault="008A02CC" w:rsidP="008A02CC">
      <w:pPr>
        <w:pStyle w:val="Prrafodelista"/>
        <w:numPr>
          <w:ilvl w:val="0"/>
          <w:numId w:val="2"/>
        </w:numPr>
        <w:rPr>
          <w:rFonts w:cstheme="minorHAnsi"/>
          <w:sz w:val="24"/>
          <w:szCs w:val="24"/>
        </w:rPr>
      </w:pPr>
      <w:r w:rsidRPr="0073078D">
        <w:rPr>
          <w:rFonts w:cstheme="minorHAnsi"/>
          <w:sz w:val="24"/>
          <w:szCs w:val="24"/>
        </w:rPr>
        <w:t xml:space="preserve">Negotiation - A negotiation phase is then organised on the basis of the initial tenders, while the evaluation will consider the final version of the tenders </w:t>
      </w:r>
      <w:r w:rsidR="00376F92">
        <w:rPr>
          <w:rFonts w:cstheme="minorHAnsi"/>
          <w:sz w:val="24"/>
          <w:szCs w:val="24"/>
        </w:rPr>
        <w:t>based on</w:t>
      </w:r>
      <w:r w:rsidRPr="0073078D">
        <w:rPr>
          <w:rFonts w:cstheme="minorHAnsi"/>
          <w:sz w:val="24"/>
          <w:szCs w:val="24"/>
        </w:rPr>
        <w:t xml:space="preserve"> the most economically </w:t>
      </w:r>
      <w:r w:rsidR="00376F92" w:rsidRPr="0073078D">
        <w:rPr>
          <w:rFonts w:cstheme="minorHAnsi"/>
          <w:sz w:val="24"/>
          <w:szCs w:val="24"/>
        </w:rPr>
        <w:t>advantageous</w:t>
      </w:r>
      <w:r w:rsidR="00376F92">
        <w:rPr>
          <w:rFonts w:cstheme="minorHAnsi"/>
          <w:sz w:val="24"/>
          <w:szCs w:val="24"/>
        </w:rPr>
        <w:t>.</w:t>
      </w:r>
      <w:r w:rsidRPr="0073078D">
        <w:rPr>
          <w:rStyle w:val="Refdenotaalpie"/>
          <w:rFonts w:cstheme="minorHAnsi"/>
          <w:sz w:val="24"/>
          <w:szCs w:val="24"/>
        </w:rPr>
        <w:footnoteReference w:id="12"/>
      </w:r>
    </w:p>
    <w:p w14:paraId="6A36B192" w14:textId="77777777" w:rsidR="00C61D16" w:rsidRPr="0073078D" w:rsidRDefault="00C61D16">
      <w:pPr>
        <w:rPr>
          <w:rFonts w:cstheme="minorHAnsi"/>
          <w:sz w:val="24"/>
          <w:szCs w:val="24"/>
        </w:rPr>
      </w:pPr>
    </w:p>
    <w:p w14:paraId="4F472EC4" w14:textId="77777777" w:rsidR="007B7690" w:rsidRPr="0073078D" w:rsidRDefault="007B7690" w:rsidP="00C61D16">
      <w:pPr>
        <w:pStyle w:val="Ttulo2"/>
      </w:pPr>
      <w:r w:rsidRPr="0073078D">
        <w:t>Concession Contracts</w:t>
      </w:r>
    </w:p>
    <w:p w14:paraId="78D9F149" w14:textId="77777777" w:rsidR="007B7690" w:rsidRPr="0073078D" w:rsidRDefault="007B7690" w:rsidP="00C61D16">
      <w:pPr>
        <w:pStyle w:val="Sinespaciado"/>
      </w:pPr>
    </w:p>
    <w:p w14:paraId="015E8D8F" w14:textId="08338847" w:rsidR="00110683" w:rsidRDefault="007B7690" w:rsidP="00110683">
      <w:pPr>
        <w:rPr>
          <w:rFonts w:cstheme="minorHAnsi"/>
          <w:sz w:val="24"/>
          <w:szCs w:val="24"/>
        </w:rPr>
      </w:pPr>
      <w:r w:rsidRPr="0073078D">
        <w:rPr>
          <w:rFonts w:cstheme="minorHAnsi"/>
          <w:sz w:val="24"/>
          <w:szCs w:val="24"/>
        </w:rPr>
        <w:t>Concessions are partnerships between the public sector and an economic operator (mostly private companies</w:t>
      </w:r>
      <w:proofErr w:type="gramStart"/>
      <w:r w:rsidRPr="0073078D">
        <w:rPr>
          <w:rFonts w:cstheme="minorHAnsi"/>
          <w:sz w:val="24"/>
          <w:szCs w:val="24"/>
        </w:rPr>
        <w:t>).</w:t>
      </w:r>
      <w:r w:rsidR="00110683" w:rsidRPr="0073078D">
        <w:rPr>
          <w:rFonts w:cstheme="minorHAnsi"/>
          <w:bCs/>
          <w:color w:val="000000"/>
          <w:sz w:val="24"/>
          <w:szCs w:val="24"/>
          <w:shd w:val="clear" w:color="auto" w:fill="FFFFFF"/>
        </w:rPr>
        <w:t>The</w:t>
      </w:r>
      <w:proofErr w:type="gramEnd"/>
      <w:r w:rsidR="00110683" w:rsidRPr="0073078D">
        <w:rPr>
          <w:rFonts w:cstheme="minorHAnsi"/>
          <w:bCs/>
          <w:color w:val="000000"/>
          <w:sz w:val="24"/>
          <w:szCs w:val="24"/>
          <w:shd w:val="clear" w:color="auto" w:fill="FFFFFF"/>
        </w:rPr>
        <w:t xml:space="preserve"> economic operator provid</w:t>
      </w:r>
      <w:r w:rsidR="002D5B30">
        <w:rPr>
          <w:rFonts w:cstheme="minorHAnsi"/>
          <w:bCs/>
          <w:color w:val="000000"/>
          <w:sz w:val="24"/>
          <w:szCs w:val="24"/>
          <w:shd w:val="clear" w:color="auto" w:fill="FFFFFF"/>
        </w:rPr>
        <w:t>es services or carries out work</w:t>
      </w:r>
      <w:r w:rsidR="00110683" w:rsidRPr="0073078D">
        <w:rPr>
          <w:rFonts w:cstheme="minorHAnsi"/>
          <w:bCs/>
          <w:color w:val="000000"/>
          <w:sz w:val="24"/>
          <w:szCs w:val="24"/>
          <w:shd w:val="clear" w:color="auto" w:fill="FFFFFF"/>
        </w:rPr>
        <w:t xml:space="preserve"> and is remunerated by being permitted to exploit the work or service</w:t>
      </w:r>
      <w:r w:rsidR="00110683" w:rsidRPr="00110683">
        <w:t xml:space="preserve"> </w:t>
      </w:r>
      <w:r w:rsidR="00110683" w:rsidRPr="00110683">
        <w:rPr>
          <w:rFonts w:cstheme="minorHAnsi"/>
          <w:bCs/>
          <w:color w:val="000000"/>
          <w:sz w:val="24"/>
          <w:szCs w:val="24"/>
          <w:shd w:val="clear" w:color="auto" w:fill="FFFFFF"/>
        </w:rPr>
        <w:t>and is exposed to a p</w:t>
      </w:r>
      <w:r w:rsidR="00110683">
        <w:rPr>
          <w:rFonts w:cstheme="minorHAnsi"/>
          <w:bCs/>
          <w:color w:val="000000"/>
          <w:sz w:val="24"/>
          <w:szCs w:val="24"/>
          <w:shd w:val="clear" w:color="auto" w:fill="FFFFFF"/>
        </w:rPr>
        <w:t>otential loss on its investment</w:t>
      </w:r>
      <w:r w:rsidR="00110683" w:rsidRPr="0073078D">
        <w:rPr>
          <w:rFonts w:cstheme="minorHAnsi"/>
          <w:bCs/>
          <w:color w:val="000000"/>
          <w:sz w:val="24"/>
          <w:szCs w:val="24"/>
          <w:shd w:val="clear" w:color="auto" w:fill="FFFFFF"/>
        </w:rPr>
        <w:t>.</w:t>
      </w:r>
      <w:r w:rsidR="00110683" w:rsidRPr="0073078D">
        <w:rPr>
          <w:rFonts w:cstheme="minorHAnsi"/>
          <w:sz w:val="24"/>
          <w:szCs w:val="24"/>
        </w:rPr>
        <w:t xml:space="preserve"> </w:t>
      </w:r>
      <w:r w:rsidR="00110683" w:rsidRPr="0073078D">
        <w:rPr>
          <w:rStyle w:val="Refdenotaalpie"/>
          <w:rFonts w:cstheme="minorHAnsi"/>
          <w:sz w:val="24"/>
          <w:szCs w:val="24"/>
        </w:rPr>
        <w:footnoteReference w:id="13"/>
      </w:r>
      <w:r w:rsidR="00110683">
        <w:rPr>
          <w:rFonts w:cstheme="minorHAnsi"/>
          <w:sz w:val="24"/>
          <w:szCs w:val="24"/>
        </w:rPr>
        <w:t xml:space="preserve"> </w:t>
      </w:r>
    </w:p>
    <w:p w14:paraId="13F2137C" w14:textId="6BFBF044" w:rsidR="00110683" w:rsidRPr="00110683" w:rsidRDefault="002D5B30" w:rsidP="00110683">
      <w:pPr>
        <w:rPr>
          <w:rFonts w:cstheme="minorHAnsi"/>
          <w:sz w:val="24"/>
          <w:szCs w:val="24"/>
        </w:rPr>
      </w:pPr>
      <w:r>
        <w:rPr>
          <w:rFonts w:cstheme="minorHAnsi"/>
          <w:sz w:val="24"/>
          <w:szCs w:val="24"/>
        </w:rPr>
        <w:t xml:space="preserve">An example of a Concession Contract would be where </w:t>
      </w:r>
      <w:r w:rsidR="00110683" w:rsidRPr="00110683">
        <w:rPr>
          <w:rFonts w:cstheme="minorHAnsi"/>
          <w:sz w:val="24"/>
          <w:szCs w:val="24"/>
        </w:rPr>
        <w:t>a private company builds and manages a motorway an</w:t>
      </w:r>
      <w:r w:rsidR="00110683">
        <w:rPr>
          <w:rFonts w:cstheme="minorHAnsi"/>
          <w:sz w:val="24"/>
          <w:szCs w:val="24"/>
        </w:rPr>
        <w:t xml:space="preserve">d is remunerated through tolls, </w:t>
      </w:r>
      <w:r w:rsidR="00110683" w:rsidRPr="00110683">
        <w:rPr>
          <w:rFonts w:cstheme="minorHAnsi"/>
          <w:sz w:val="24"/>
          <w:szCs w:val="24"/>
        </w:rPr>
        <w:t>running the risk that the revenue generated will not cover its investment and other costs incurred.</w:t>
      </w:r>
    </w:p>
    <w:p w14:paraId="6572A594" w14:textId="5ED8C3DB" w:rsidR="00110683" w:rsidRPr="00110683" w:rsidRDefault="00110683" w:rsidP="007B7690">
      <w:pPr>
        <w:rPr>
          <w:sz w:val="24"/>
          <w:szCs w:val="24"/>
        </w:rPr>
      </w:pPr>
      <w:r w:rsidRPr="00110683">
        <w:rPr>
          <w:rFonts w:cstheme="minorHAnsi"/>
          <w:sz w:val="24"/>
          <w:szCs w:val="24"/>
        </w:rPr>
        <w:t xml:space="preserve">This differs to a </w:t>
      </w:r>
      <w:r w:rsidRPr="00110683">
        <w:rPr>
          <w:sz w:val="24"/>
          <w:szCs w:val="24"/>
        </w:rPr>
        <w:t>public contract where a company is paid a fixed amount for completing the required work or providing a service.</w:t>
      </w:r>
      <w:r>
        <w:rPr>
          <w:sz w:val="24"/>
          <w:szCs w:val="24"/>
        </w:rPr>
        <w:t xml:space="preserve"> </w:t>
      </w:r>
      <w:r w:rsidRPr="00110683">
        <w:rPr>
          <w:sz w:val="24"/>
          <w:szCs w:val="24"/>
        </w:rPr>
        <w:t>For example</w:t>
      </w:r>
      <w:r w:rsidR="002D5B30">
        <w:rPr>
          <w:sz w:val="24"/>
          <w:szCs w:val="24"/>
        </w:rPr>
        <w:t xml:space="preserve">, </w:t>
      </w:r>
      <w:r w:rsidRPr="00110683">
        <w:rPr>
          <w:sz w:val="24"/>
          <w:szCs w:val="24"/>
        </w:rPr>
        <w:t>a private company builds and manages a motorway for a fixed price.</w:t>
      </w:r>
      <w:r>
        <w:rPr>
          <w:rStyle w:val="Refdenotaalpie"/>
          <w:sz w:val="24"/>
          <w:szCs w:val="24"/>
        </w:rPr>
        <w:footnoteReference w:id="14"/>
      </w:r>
    </w:p>
    <w:p w14:paraId="1AE1C43C" w14:textId="77777777" w:rsidR="007B7690" w:rsidRPr="0073078D" w:rsidRDefault="007B7690" w:rsidP="007B7690">
      <w:pPr>
        <w:rPr>
          <w:rFonts w:cstheme="minorHAnsi"/>
          <w:sz w:val="24"/>
          <w:szCs w:val="24"/>
        </w:rPr>
      </w:pPr>
      <w:r w:rsidRPr="0073078D">
        <w:rPr>
          <w:rFonts w:cstheme="minorHAnsi"/>
          <w:sz w:val="24"/>
          <w:szCs w:val="24"/>
        </w:rPr>
        <w:t>There are two types of concession contracts:</w:t>
      </w:r>
    </w:p>
    <w:p w14:paraId="2F2720C0" w14:textId="7B6E8800" w:rsidR="007B7690" w:rsidRPr="00E82EE8" w:rsidRDefault="007B7690" w:rsidP="00D12FB3">
      <w:pPr>
        <w:pStyle w:val="Prrafodelista"/>
        <w:numPr>
          <w:ilvl w:val="0"/>
          <w:numId w:val="5"/>
        </w:numPr>
        <w:rPr>
          <w:rFonts w:cstheme="minorHAnsi"/>
          <w:sz w:val="24"/>
          <w:szCs w:val="24"/>
        </w:rPr>
      </w:pPr>
      <w:r w:rsidRPr="00E82EE8">
        <w:rPr>
          <w:rFonts w:cstheme="minorHAnsi"/>
          <w:sz w:val="24"/>
          <w:szCs w:val="24"/>
        </w:rPr>
        <w:t xml:space="preserve">Works -  the economic operator carries out the development of infrastructure </w:t>
      </w:r>
      <w:proofErr w:type="gramStart"/>
      <w:r w:rsidRPr="00E82EE8">
        <w:rPr>
          <w:rFonts w:cstheme="minorHAnsi"/>
          <w:sz w:val="24"/>
          <w:szCs w:val="24"/>
        </w:rPr>
        <w:t>( e.g.</w:t>
      </w:r>
      <w:proofErr w:type="gramEnd"/>
      <w:r w:rsidRPr="00E82EE8">
        <w:rPr>
          <w:rFonts w:cstheme="minorHAnsi"/>
          <w:sz w:val="24"/>
          <w:szCs w:val="24"/>
        </w:rPr>
        <w:t xml:space="preserve"> ports, water distribution, parking garages, toll roads)</w:t>
      </w:r>
    </w:p>
    <w:p w14:paraId="0B202D63" w14:textId="6A95EF53" w:rsidR="007B7690" w:rsidRDefault="007B7690" w:rsidP="007B7690">
      <w:pPr>
        <w:pStyle w:val="Prrafodelista"/>
        <w:numPr>
          <w:ilvl w:val="0"/>
          <w:numId w:val="5"/>
        </w:numPr>
        <w:rPr>
          <w:rFonts w:cstheme="minorHAnsi"/>
          <w:sz w:val="24"/>
          <w:szCs w:val="24"/>
        </w:rPr>
      </w:pPr>
      <w:r w:rsidRPr="0073078D">
        <w:rPr>
          <w:rFonts w:cstheme="minorHAnsi"/>
          <w:sz w:val="24"/>
          <w:szCs w:val="24"/>
        </w:rPr>
        <w:lastRenderedPageBreak/>
        <w:t>Services - the economic operator provide services of general economic interest (e.g. energy, water distribution and waste disposal)</w:t>
      </w:r>
      <w:r w:rsidR="00E82EE8">
        <w:rPr>
          <w:rFonts w:cstheme="minorHAnsi"/>
          <w:sz w:val="24"/>
          <w:szCs w:val="24"/>
        </w:rPr>
        <w:t>.</w:t>
      </w:r>
      <w:r w:rsidRPr="0073078D">
        <w:rPr>
          <w:rStyle w:val="Refdenotaalpie"/>
          <w:rFonts w:cstheme="minorHAnsi"/>
          <w:sz w:val="24"/>
          <w:szCs w:val="24"/>
        </w:rPr>
        <w:footnoteReference w:id="15"/>
      </w:r>
    </w:p>
    <w:p w14:paraId="4D8BB763" w14:textId="45526F57" w:rsidR="00110683" w:rsidRPr="00110683" w:rsidRDefault="00110683" w:rsidP="00110683">
      <w:pPr>
        <w:rPr>
          <w:rFonts w:cstheme="minorHAnsi"/>
          <w:sz w:val="24"/>
          <w:szCs w:val="24"/>
        </w:rPr>
      </w:pPr>
    </w:p>
    <w:p w14:paraId="1B81506E" w14:textId="77777777" w:rsidR="007B7690" w:rsidRPr="0073078D" w:rsidRDefault="007B7690" w:rsidP="00C61D16">
      <w:pPr>
        <w:pStyle w:val="Ttulo2"/>
      </w:pPr>
      <w:r w:rsidRPr="0073078D">
        <w:t>Contracting Authorities</w:t>
      </w:r>
    </w:p>
    <w:p w14:paraId="4AF74B0D" w14:textId="77777777" w:rsidR="00C61D16" w:rsidRPr="0073078D" w:rsidRDefault="00C61D16" w:rsidP="00C61D16">
      <w:pPr>
        <w:pStyle w:val="Sinespaciado"/>
      </w:pPr>
    </w:p>
    <w:p w14:paraId="0C070951" w14:textId="4E54C29F" w:rsidR="007B7690" w:rsidRPr="0073078D" w:rsidRDefault="004C6C8B" w:rsidP="007B7690">
      <w:pPr>
        <w:jc w:val="both"/>
        <w:rPr>
          <w:rFonts w:cstheme="minorHAnsi"/>
          <w:sz w:val="24"/>
          <w:szCs w:val="24"/>
        </w:rPr>
      </w:pPr>
      <w:r>
        <w:rPr>
          <w:rFonts w:cstheme="minorHAnsi"/>
          <w:sz w:val="24"/>
          <w:szCs w:val="24"/>
        </w:rPr>
        <w:t xml:space="preserve">The </w:t>
      </w:r>
      <w:r w:rsidR="00376F92">
        <w:rPr>
          <w:rFonts w:cstheme="minorHAnsi"/>
          <w:sz w:val="24"/>
          <w:szCs w:val="24"/>
        </w:rPr>
        <w:t>body that</w:t>
      </w:r>
      <w:r>
        <w:rPr>
          <w:rFonts w:cstheme="minorHAnsi"/>
          <w:sz w:val="24"/>
          <w:szCs w:val="24"/>
        </w:rPr>
        <w:t xml:space="preserve"> issues a </w:t>
      </w:r>
      <w:r w:rsidR="00376F92">
        <w:rPr>
          <w:rFonts w:cstheme="minorHAnsi"/>
          <w:sz w:val="24"/>
          <w:szCs w:val="24"/>
        </w:rPr>
        <w:t>contract</w:t>
      </w:r>
      <w:r>
        <w:rPr>
          <w:rFonts w:cstheme="minorHAnsi"/>
          <w:sz w:val="24"/>
          <w:szCs w:val="24"/>
        </w:rPr>
        <w:t xml:space="preserve"> is known as the contracting authority. This will be a </w:t>
      </w:r>
      <w:r w:rsidR="00936931">
        <w:rPr>
          <w:rFonts w:cstheme="minorHAnsi"/>
          <w:sz w:val="24"/>
          <w:szCs w:val="24"/>
        </w:rPr>
        <w:t>national</w:t>
      </w:r>
      <w:r w:rsidR="007B7690" w:rsidRPr="0073078D">
        <w:rPr>
          <w:rFonts w:cstheme="minorHAnsi"/>
          <w:sz w:val="24"/>
          <w:szCs w:val="24"/>
        </w:rPr>
        <w:t>, regional</w:t>
      </w:r>
      <w:r>
        <w:rPr>
          <w:rFonts w:cstheme="minorHAnsi"/>
          <w:sz w:val="24"/>
          <w:szCs w:val="24"/>
        </w:rPr>
        <w:t>,</w:t>
      </w:r>
      <w:r w:rsidR="007B7690" w:rsidRPr="0073078D">
        <w:rPr>
          <w:rFonts w:cstheme="minorHAnsi"/>
          <w:sz w:val="24"/>
          <w:szCs w:val="24"/>
        </w:rPr>
        <w:t xml:space="preserve"> or local authorit</w:t>
      </w:r>
      <w:r>
        <w:rPr>
          <w:rFonts w:cstheme="minorHAnsi"/>
          <w:sz w:val="24"/>
          <w:szCs w:val="24"/>
        </w:rPr>
        <w:t>y</w:t>
      </w:r>
      <w:r w:rsidR="007B7690" w:rsidRPr="0073078D">
        <w:rPr>
          <w:rFonts w:cstheme="minorHAnsi"/>
          <w:sz w:val="24"/>
          <w:szCs w:val="24"/>
        </w:rPr>
        <w:t xml:space="preserve">, </w:t>
      </w:r>
      <w:r>
        <w:rPr>
          <w:rFonts w:cstheme="minorHAnsi"/>
          <w:sz w:val="24"/>
          <w:szCs w:val="24"/>
        </w:rPr>
        <w:t xml:space="preserve">a </w:t>
      </w:r>
      <w:r w:rsidR="007B7690" w:rsidRPr="0073078D">
        <w:rPr>
          <w:rFonts w:cstheme="minorHAnsi"/>
          <w:sz w:val="24"/>
          <w:szCs w:val="24"/>
        </w:rPr>
        <w:t>bod</w:t>
      </w:r>
      <w:r>
        <w:rPr>
          <w:rFonts w:cstheme="minorHAnsi"/>
          <w:sz w:val="24"/>
          <w:szCs w:val="24"/>
        </w:rPr>
        <w:t>y</w:t>
      </w:r>
      <w:r w:rsidR="00936931">
        <w:rPr>
          <w:rFonts w:cstheme="minorHAnsi"/>
          <w:sz w:val="24"/>
          <w:szCs w:val="24"/>
        </w:rPr>
        <w:t xml:space="preserve"> </w:t>
      </w:r>
      <w:r w:rsidR="007B7690" w:rsidRPr="0073078D">
        <w:rPr>
          <w:rFonts w:cstheme="minorHAnsi"/>
          <w:sz w:val="24"/>
          <w:szCs w:val="24"/>
        </w:rPr>
        <w:t>governed by public law</w:t>
      </w:r>
      <w:r>
        <w:rPr>
          <w:rFonts w:cstheme="minorHAnsi"/>
          <w:sz w:val="24"/>
          <w:szCs w:val="24"/>
        </w:rPr>
        <w:t>,</w:t>
      </w:r>
      <w:r w:rsidR="007B7690" w:rsidRPr="0073078D">
        <w:rPr>
          <w:rFonts w:cstheme="minorHAnsi"/>
          <w:sz w:val="24"/>
          <w:szCs w:val="24"/>
        </w:rPr>
        <w:t xml:space="preserve"> or </w:t>
      </w:r>
      <w:r>
        <w:rPr>
          <w:rFonts w:cstheme="minorHAnsi"/>
          <w:sz w:val="24"/>
          <w:szCs w:val="24"/>
        </w:rPr>
        <w:t xml:space="preserve">an </w:t>
      </w:r>
      <w:r w:rsidR="007B7690" w:rsidRPr="0073078D">
        <w:rPr>
          <w:rFonts w:cstheme="minorHAnsi"/>
          <w:sz w:val="24"/>
          <w:szCs w:val="24"/>
        </w:rPr>
        <w:t>association formed by bodies governed by public law.</w:t>
      </w:r>
      <w:r w:rsidR="007B7690" w:rsidRPr="0073078D">
        <w:rPr>
          <w:rStyle w:val="Refdenotaalpie"/>
          <w:rFonts w:cstheme="minorHAnsi"/>
          <w:sz w:val="24"/>
          <w:szCs w:val="24"/>
        </w:rPr>
        <w:footnoteReference w:id="16"/>
      </w:r>
    </w:p>
    <w:p w14:paraId="04FD28DE" w14:textId="41FAB52C" w:rsidR="007B7690" w:rsidRPr="0073078D" w:rsidRDefault="007B7690" w:rsidP="007B7690">
      <w:pPr>
        <w:rPr>
          <w:rFonts w:cstheme="minorHAnsi"/>
          <w:sz w:val="24"/>
          <w:szCs w:val="24"/>
        </w:rPr>
      </w:pPr>
      <w:r w:rsidRPr="0073078D">
        <w:rPr>
          <w:rFonts w:cstheme="minorHAnsi"/>
          <w:sz w:val="24"/>
          <w:szCs w:val="24"/>
        </w:rPr>
        <w:t xml:space="preserve">Two categories of Contracting Authorities have </w:t>
      </w:r>
      <w:r w:rsidRPr="00E82EE8">
        <w:rPr>
          <w:rFonts w:cstheme="minorHAnsi"/>
          <w:sz w:val="24"/>
          <w:szCs w:val="24"/>
        </w:rPr>
        <w:t>been introduced</w:t>
      </w:r>
      <w:r w:rsidR="00936931" w:rsidRPr="00E82EE8">
        <w:rPr>
          <w:rFonts w:cstheme="minorHAnsi"/>
          <w:sz w:val="24"/>
          <w:szCs w:val="24"/>
        </w:rPr>
        <w:t xml:space="preserve"> into </w:t>
      </w:r>
      <w:r w:rsidR="0067153D" w:rsidRPr="00E82EE8">
        <w:rPr>
          <w:sz w:val="24"/>
          <w:szCs w:val="24"/>
        </w:rPr>
        <w:t>Directive 2014/24/EU</w:t>
      </w:r>
      <w:r w:rsidRPr="00E82EE8">
        <w:rPr>
          <w:rFonts w:cstheme="minorHAnsi"/>
          <w:sz w:val="24"/>
          <w:szCs w:val="24"/>
        </w:rPr>
        <w:t>:</w:t>
      </w:r>
    </w:p>
    <w:p w14:paraId="7F158837" w14:textId="77777777" w:rsidR="007B7690" w:rsidRPr="0073078D" w:rsidRDefault="007B7690" w:rsidP="007B7690">
      <w:pPr>
        <w:pStyle w:val="Prrafodelista"/>
        <w:numPr>
          <w:ilvl w:val="0"/>
          <w:numId w:val="6"/>
        </w:numPr>
        <w:rPr>
          <w:rFonts w:cstheme="minorHAnsi"/>
          <w:sz w:val="24"/>
          <w:szCs w:val="24"/>
        </w:rPr>
      </w:pPr>
      <w:r w:rsidRPr="0073078D">
        <w:rPr>
          <w:rFonts w:cstheme="minorHAnsi"/>
          <w:sz w:val="24"/>
          <w:szCs w:val="24"/>
        </w:rPr>
        <w:t xml:space="preserve">central government authorities (national public bodies) </w:t>
      </w:r>
    </w:p>
    <w:p w14:paraId="78178F54" w14:textId="77777777" w:rsidR="007B7690" w:rsidRPr="0073078D" w:rsidRDefault="007B7690" w:rsidP="007B7690">
      <w:pPr>
        <w:pStyle w:val="Prrafodelista"/>
        <w:numPr>
          <w:ilvl w:val="0"/>
          <w:numId w:val="6"/>
        </w:numPr>
        <w:rPr>
          <w:rFonts w:cstheme="minorHAnsi"/>
          <w:sz w:val="24"/>
          <w:szCs w:val="24"/>
        </w:rPr>
      </w:pPr>
      <w:r w:rsidRPr="0073078D">
        <w:rPr>
          <w:rFonts w:cstheme="minorHAnsi"/>
          <w:sz w:val="24"/>
          <w:szCs w:val="24"/>
        </w:rPr>
        <w:t>sub-central contracting authorities (operating at regional and local level)</w:t>
      </w:r>
    </w:p>
    <w:p w14:paraId="3AE27257" w14:textId="77777777" w:rsidR="007B7690" w:rsidRPr="0073078D" w:rsidRDefault="007B7690" w:rsidP="007B7690">
      <w:pPr>
        <w:rPr>
          <w:rFonts w:cstheme="minorHAnsi"/>
          <w:sz w:val="24"/>
          <w:szCs w:val="24"/>
        </w:rPr>
      </w:pPr>
      <w:r w:rsidRPr="0073078D">
        <w:rPr>
          <w:rFonts w:cstheme="minorHAnsi"/>
          <w:sz w:val="24"/>
          <w:szCs w:val="24"/>
        </w:rPr>
        <w:t>A main difference is that the threshold is higher for sub-central contracting authorities in the cases of supply contracts and most service contracts.</w:t>
      </w:r>
      <w:r w:rsidRPr="0073078D">
        <w:rPr>
          <w:rStyle w:val="Refdenotaalpie"/>
          <w:rFonts w:cstheme="minorHAnsi"/>
          <w:sz w:val="24"/>
          <w:szCs w:val="24"/>
        </w:rPr>
        <w:footnoteReference w:id="17"/>
      </w:r>
    </w:p>
    <w:p w14:paraId="1C4951F1" w14:textId="77777777" w:rsidR="007B7690" w:rsidRPr="0073078D" w:rsidRDefault="007B7690" w:rsidP="007B7690">
      <w:pPr>
        <w:rPr>
          <w:rFonts w:cstheme="minorHAnsi"/>
          <w:sz w:val="24"/>
          <w:szCs w:val="24"/>
        </w:rPr>
      </w:pPr>
    </w:p>
    <w:p w14:paraId="43D95854" w14:textId="77777777" w:rsidR="007B7690" w:rsidRPr="0073078D" w:rsidRDefault="007B7690" w:rsidP="00C61D16">
      <w:pPr>
        <w:pStyle w:val="Ttulo2"/>
      </w:pPr>
      <w:r w:rsidRPr="0073078D">
        <w:t>Economic operator</w:t>
      </w:r>
    </w:p>
    <w:p w14:paraId="041E56D3" w14:textId="77777777" w:rsidR="00C61D16" w:rsidRPr="0073078D" w:rsidRDefault="00C61D16" w:rsidP="00C61D16">
      <w:pPr>
        <w:pStyle w:val="Sinespaciado"/>
      </w:pPr>
    </w:p>
    <w:p w14:paraId="1AF59AFF" w14:textId="3A165A30" w:rsidR="007B7690" w:rsidRPr="0073078D" w:rsidRDefault="00BB3E36" w:rsidP="007B7690">
      <w:pPr>
        <w:jc w:val="both"/>
        <w:rPr>
          <w:rFonts w:cstheme="minorHAnsi"/>
          <w:sz w:val="24"/>
          <w:szCs w:val="24"/>
        </w:rPr>
      </w:pPr>
      <w:r w:rsidRPr="0073078D">
        <w:rPr>
          <w:rFonts w:cstheme="minorHAnsi"/>
          <w:sz w:val="24"/>
          <w:szCs w:val="24"/>
        </w:rPr>
        <w:t>A</w:t>
      </w:r>
      <w:r w:rsidR="007B7690" w:rsidRPr="0073078D">
        <w:rPr>
          <w:rFonts w:cstheme="minorHAnsi"/>
          <w:sz w:val="24"/>
          <w:szCs w:val="24"/>
        </w:rPr>
        <w:t xml:space="preserve">ny person or public </w:t>
      </w:r>
      <w:r w:rsidR="00376F92" w:rsidRPr="0073078D">
        <w:rPr>
          <w:rFonts w:cstheme="minorHAnsi"/>
          <w:sz w:val="24"/>
          <w:szCs w:val="24"/>
        </w:rPr>
        <w:t>entity that</w:t>
      </w:r>
      <w:r w:rsidR="007B7690" w:rsidRPr="0073078D">
        <w:rPr>
          <w:rFonts w:cstheme="minorHAnsi"/>
          <w:sz w:val="24"/>
          <w:szCs w:val="24"/>
        </w:rPr>
        <w:t xml:space="preserve"> offers the execution of works, the supply of products or the provision of services on the market</w:t>
      </w:r>
      <w:r w:rsidR="00E82EE8">
        <w:rPr>
          <w:rFonts w:cstheme="minorHAnsi"/>
          <w:sz w:val="24"/>
          <w:szCs w:val="24"/>
        </w:rPr>
        <w:t>.</w:t>
      </w:r>
      <w:r w:rsidR="007B7690" w:rsidRPr="0073078D">
        <w:rPr>
          <w:rStyle w:val="Refdenotaalpie"/>
          <w:rFonts w:cstheme="minorHAnsi"/>
          <w:sz w:val="24"/>
          <w:szCs w:val="24"/>
        </w:rPr>
        <w:footnoteReference w:id="18"/>
      </w:r>
    </w:p>
    <w:p w14:paraId="01E764F0" w14:textId="0B69A319" w:rsidR="00C61D16" w:rsidRPr="0073078D" w:rsidRDefault="00C61D16" w:rsidP="000D0AA7">
      <w:pPr>
        <w:rPr>
          <w:rFonts w:cstheme="minorHAnsi"/>
          <w:sz w:val="24"/>
          <w:szCs w:val="24"/>
        </w:rPr>
      </w:pPr>
    </w:p>
    <w:p w14:paraId="25180BA1" w14:textId="77777777" w:rsidR="007B7690" w:rsidRPr="0073078D" w:rsidRDefault="007B7690" w:rsidP="00C61D16">
      <w:pPr>
        <w:pStyle w:val="Ttulo2"/>
      </w:pPr>
      <w:r w:rsidRPr="0073078D">
        <w:t>Innovation</w:t>
      </w:r>
    </w:p>
    <w:p w14:paraId="2682DB0F" w14:textId="77777777" w:rsidR="00C61D16" w:rsidRPr="0073078D" w:rsidRDefault="00C61D16" w:rsidP="00C61D16">
      <w:pPr>
        <w:pStyle w:val="Sinespaciado"/>
      </w:pPr>
    </w:p>
    <w:p w14:paraId="051AA871" w14:textId="223ED066" w:rsidR="007B7690" w:rsidRDefault="00527C71" w:rsidP="007B7690">
      <w:pPr>
        <w:jc w:val="both"/>
        <w:rPr>
          <w:rFonts w:cstheme="minorHAnsi"/>
          <w:sz w:val="24"/>
          <w:szCs w:val="24"/>
        </w:rPr>
      </w:pPr>
      <w:r>
        <w:rPr>
          <w:rFonts w:cstheme="minorHAnsi"/>
          <w:sz w:val="24"/>
          <w:szCs w:val="24"/>
        </w:rPr>
        <w:t>Innovation is t</w:t>
      </w:r>
      <w:r w:rsidR="007B7690" w:rsidRPr="0073078D">
        <w:rPr>
          <w:rFonts w:cstheme="minorHAnsi"/>
          <w:sz w:val="24"/>
          <w:szCs w:val="24"/>
        </w:rPr>
        <w:t>he implementation of a new or significantly improved product, service</w:t>
      </w:r>
      <w:r>
        <w:rPr>
          <w:rFonts w:cstheme="minorHAnsi"/>
          <w:sz w:val="24"/>
          <w:szCs w:val="24"/>
        </w:rPr>
        <w:t>,</w:t>
      </w:r>
      <w:r w:rsidR="007B7690" w:rsidRPr="0073078D">
        <w:rPr>
          <w:rFonts w:cstheme="minorHAnsi"/>
          <w:sz w:val="24"/>
          <w:szCs w:val="24"/>
        </w:rPr>
        <w:t xml:space="preserve"> or process with the purpose of helping to solve societal challenges or to support, sustainable</w:t>
      </w:r>
      <w:r>
        <w:rPr>
          <w:rFonts w:cstheme="minorHAnsi"/>
          <w:sz w:val="24"/>
          <w:szCs w:val="24"/>
        </w:rPr>
        <w:t>,</w:t>
      </w:r>
      <w:r w:rsidR="007B7690" w:rsidRPr="0073078D">
        <w:rPr>
          <w:rFonts w:cstheme="minorHAnsi"/>
          <w:sz w:val="24"/>
          <w:szCs w:val="24"/>
        </w:rPr>
        <w:t xml:space="preserve"> and inclusive growth</w:t>
      </w:r>
      <w:r w:rsidR="00E82EE8">
        <w:rPr>
          <w:rFonts w:cstheme="minorHAnsi"/>
          <w:sz w:val="24"/>
          <w:szCs w:val="24"/>
        </w:rPr>
        <w:t>.</w:t>
      </w:r>
      <w:r w:rsidR="007B7690" w:rsidRPr="0073078D">
        <w:rPr>
          <w:rStyle w:val="Refdenotaalpie"/>
          <w:rFonts w:cstheme="minorHAnsi"/>
          <w:sz w:val="24"/>
          <w:szCs w:val="24"/>
        </w:rPr>
        <w:footnoteReference w:id="19"/>
      </w:r>
    </w:p>
    <w:p w14:paraId="713260C3" w14:textId="77777777" w:rsidR="008A02CC" w:rsidRDefault="008A02CC" w:rsidP="007B7690">
      <w:pPr>
        <w:jc w:val="both"/>
        <w:rPr>
          <w:rFonts w:cstheme="minorHAnsi"/>
          <w:sz w:val="24"/>
          <w:szCs w:val="24"/>
        </w:rPr>
      </w:pPr>
    </w:p>
    <w:p w14:paraId="2C64E224" w14:textId="77777777" w:rsidR="00D40105" w:rsidRDefault="00D40105" w:rsidP="008A02CC">
      <w:pPr>
        <w:pStyle w:val="Ttulo2"/>
      </w:pPr>
    </w:p>
    <w:p w14:paraId="00E5A177" w14:textId="744F971B" w:rsidR="008A02CC" w:rsidRPr="0073078D" w:rsidRDefault="008A02CC" w:rsidP="008A02CC">
      <w:pPr>
        <w:pStyle w:val="Ttulo2"/>
      </w:pPr>
      <w:r w:rsidRPr="0073078D">
        <w:t>Innovation Partnerships</w:t>
      </w:r>
    </w:p>
    <w:p w14:paraId="047015D2" w14:textId="77777777" w:rsidR="008A02CC" w:rsidRPr="0073078D" w:rsidRDefault="008A02CC" w:rsidP="008A02CC">
      <w:pPr>
        <w:pStyle w:val="Sinespaciado"/>
        <w:rPr>
          <w:rFonts w:cstheme="minorHAnsi"/>
          <w:sz w:val="24"/>
          <w:szCs w:val="24"/>
        </w:rPr>
      </w:pPr>
    </w:p>
    <w:p w14:paraId="5B01C69F" w14:textId="77777777" w:rsidR="008A02CC" w:rsidRDefault="008A02CC" w:rsidP="008A02CC">
      <w:pPr>
        <w:jc w:val="both"/>
        <w:rPr>
          <w:rFonts w:cstheme="minorHAnsi"/>
          <w:sz w:val="24"/>
          <w:szCs w:val="24"/>
        </w:rPr>
      </w:pPr>
      <w:r w:rsidRPr="0073078D">
        <w:rPr>
          <w:rFonts w:cstheme="minorHAnsi"/>
          <w:sz w:val="24"/>
          <w:szCs w:val="24"/>
          <w:shd w:val="clear" w:color="auto" w:fill="FFFFFF"/>
        </w:rPr>
        <w:t>The aim of the innovation partnership is for the contracting authority to purchase research and development services to develop</w:t>
      </w:r>
      <w:r w:rsidRPr="0073078D">
        <w:rPr>
          <w:rFonts w:cstheme="minorHAnsi"/>
          <w:sz w:val="24"/>
          <w:szCs w:val="24"/>
        </w:rPr>
        <w:t xml:space="preserve"> an innovative product, service</w:t>
      </w:r>
      <w:r>
        <w:rPr>
          <w:rFonts w:cstheme="minorHAnsi"/>
          <w:sz w:val="24"/>
          <w:szCs w:val="24"/>
        </w:rPr>
        <w:t>,</w:t>
      </w:r>
      <w:r w:rsidRPr="0073078D">
        <w:rPr>
          <w:rFonts w:cstheme="minorHAnsi"/>
          <w:sz w:val="24"/>
          <w:szCs w:val="24"/>
        </w:rPr>
        <w:t xml:space="preserve"> or works that cannot be met by purchasing products, services</w:t>
      </w:r>
      <w:r>
        <w:rPr>
          <w:rFonts w:cstheme="minorHAnsi"/>
          <w:sz w:val="24"/>
          <w:szCs w:val="24"/>
        </w:rPr>
        <w:t>,</w:t>
      </w:r>
      <w:r w:rsidRPr="0073078D">
        <w:rPr>
          <w:rFonts w:cstheme="minorHAnsi"/>
          <w:sz w:val="24"/>
          <w:szCs w:val="24"/>
        </w:rPr>
        <w:t xml:space="preserve"> or works already available on the market.</w:t>
      </w:r>
    </w:p>
    <w:p w14:paraId="6E2DA2F9" w14:textId="77777777" w:rsidR="008A02CC" w:rsidRPr="0073078D" w:rsidRDefault="008A02CC" w:rsidP="008A02CC">
      <w:pPr>
        <w:jc w:val="both"/>
        <w:rPr>
          <w:rFonts w:cstheme="minorHAnsi"/>
          <w:sz w:val="24"/>
          <w:szCs w:val="24"/>
        </w:rPr>
      </w:pPr>
      <w:r w:rsidRPr="00110683">
        <w:rPr>
          <w:rFonts w:cstheme="minorHAnsi"/>
          <w:sz w:val="24"/>
          <w:szCs w:val="24"/>
        </w:rPr>
        <w:t>The contracting authority may decide to set up the innovation partnership with one partner or with several partners conducting separate research and development activities.</w:t>
      </w:r>
    </w:p>
    <w:p w14:paraId="1D9F3CA1" w14:textId="50DE4FFD" w:rsidR="008A02CC" w:rsidRPr="0073078D" w:rsidRDefault="008A02CC" w:rsidP="007B7690">
      <w:pPr>
        <w:jc w:val="both"/>
        <w:rPr>
          <w:rFonts w:cstheme="minorHAnsi"/>
          <w:sz w:val="24"/>
          <w:szCs w:val="24"/>
        </w:rPr>
      </w:pPr>
      <w:r w:rsidRPr="0073078D">
        <w:rPr>
          <w:rFonts w:cstheme="minorHAnsi"/>
          <w:sz w:val="24"/>
          <w:szCs w:val="24"/>
        </w:rPr>
        <w:t xml:space="preserve">The </w:t>
      </w:r>
      <w:r w:rsidRPr="0073078D">
        <w:rPr>
          <w:rFonts w:cstheme="minorHAnsi"/>
          <w:sz w:val="24"/>
          <w:szCs w:val="24"/>
          <w:shd w:val="clear" w:color="auto" w:fill="FFFFFF"/>
        </w:rPr>
        <w:t xml:space="preserve">contracting authority </w:t>
      </w:r>
      <w:r>
        <w:rPr>
          <w:rFonts w:cstheme="minorHAnsi"/>
          <w:sz w:val="24"/>
          <w:szCs w:val="24"/>
        </w:rPr>
        <w:t xml:space="preserve">will then purchase </w:t>
      </w:r>
      <w:r w:rsidRPr="0073078D">
        <w:rPr>
          <w:rFonts w:cstheme="minorHAnsi"/>
          <w:sz w:val="24"/>
          <w:szCs w:val="24"/>
        </w:rPr>
        <w:t>the created innovative supplies, services</w:t>
      </w:r>
      <w:r>
        <w:rPr>
          <w:rFonts w:cstheme="minorHAnsi"/>
          <w:sz w:val="24"/>
          <w:szCs w:val="24"/>
        </w:rPr>
        <w:t>,</w:t>
      </w:r>
      <w:r w:rsidRPr="0073078D">
        <w:rPr>
          <w:rFonts w:cstheme="minorHAnsi"/>
          <w:sz w:val="24"/>
          <w:szCs w:val="24"/>
        </w:rPr>
        <w:t xml:space="preserve"> or works, provided that they correspond to the performance levels and maximum costs agreed between the contracting authorities and the participants</w:t>
      </w:r>
      <w:r>
        <w:rPr>
          <w:rFonts w:cstheme="minorHAnsi"/>
          <w:sz w:val="24"/>
          <w:szCs w:val="24"/>
        </w:rPr>
        <w:t xml:space="preserve"> involved in the </w:t>
      </w:r>
      <w:r w:rsidRPr="0073078D">
        <w:rPr>
          <w:rFonts w:cstheme="minorHAnsi"/>
          <w:sz w:val="24"/>
          <w:szCs w:val="24"/>
          <w:shd w:val="clear" w:color="auto" w:fill="FFFFFF"/>
        </w:rPr>
        <w:t>innovation partnership</w:t>
      </w:r>
      <w:r w:rsidRPr="0073078D">
        <w:rPr>
          <w:rFonts w:cstheme="minorHAnsi"/>
          <w:sz w:val="24"/>
          <w:szCs w:val="24"/>
        </w:rPr>
        <w:t>.</w:t>
      </w:r>
      <w:r w:rsidRPr="0073078D">
        <w:rPr>
          <w:rStyle w:val="Refdenotaalpie"/>
          <w:rFonts w:cstheme="minorHAnsi"/>
          <w:sz w:val="24"/>
          <w:szCs w:val="24"/>
        </w:rPr>
        <w:footnoteReference w:id="20"/>
      </w:r>
    </w:p>
    <w:p w14:paraId="6ABCB04B" w14:textId="77777777" w:rsidR="00C61D16" w:rsidRPr="0073078D" w:rsidRDefault="00C61D16" w:rsidP="007B7690">
      <w:pPr>
        <w:jc w:val="both"/>
        <w:rPr>
          <w:rFonts w:cstheme="minorHAnsi"/>
          <w:sz w:val="24"/>
          <w:szCs w:val="24"/>
        </w:rPr>
      </w:pPr>
    </w:p>
    <w:p w14:paraId="63C424C1" w14:textId="77777777" w:rsidR="007B7690" w:rsidRPr="0073078D" w:rsidRDefault="007B7690" w:rsidP="00C61D16">
      <w:pPr>
        <w:pStyle w:val="Ttulo2"/>
      </w:pPr>
      <w:r w:rsidRPr="0073078D">
        <w:t>Life cycle</w:t>
      </w:r>
    </w:p>
    <w:p w14:paraId="76C2F573" w14:textId="77777777" w:rsidR="00C61D16" w:rsidRPr="0073078D" w:rsidRDefault="00C61D16" w:rsidP="00C61D16">
      <w:pPr>
        <w:pStyle w:val="Sinespaciado"/>
      </w:pPr>
    </w:p>
    <w:p w14:paraId="304F27DA" w14:textId="218C5438" w:rsidR="007B7690" w:rsidRPr="0073078D" w:rsidRDefault="00527C71" w:rsidP="007B7690">
      <w:pPr>
        <w:jc w:val="both"/>
        <w:rPr>
          <w:rFonts w:cstheme="minorHAnsi"/>
          <w:sz w:val="24"/>
          <w:szCs w:val="24"/>
        </w:rPr>
      </w:pPr>
      <w:r>
        <w:rPr>
          <w:rFonts w:cstheme="minorHAnsi"/>
          <w:sz w:val="24"/>
          <w:szCs w:val="24"/>
        </w:rPr>
        <w:t xml:space="preserve">The life cycle of a </w:t>
      </w:r>
      <w:r w:rsidR="0067153D">
        <w:rPr>
          <w:rFonts w:cstheme="minorHAnsi"/>
          <w:sz w:val="24"/>
          <w:szCs w:val="24"/>
        </w:rPr>
        <w:t>public contract</w:t>
      </w:r>
      <w:r>
        <w:rPr>
          <w:rFonts w:cstheme="minorHAnsi"/>
          <w:sz w:val="24"/>
          <w:szCs w:val="24"/>
        </w:rPr>
        <w:t xml:space="preserve"> comprises a</w:t>
      </w:r>
      <w:r w:rsidR="007B7690" w:rsidRPr="0073078D">
        <w:rPr>
          <w:rFonts w:cstheme="minorHAnsi"/>
          <w:sz w:val="24"/>
          <w:szCs w:val="24"/>
        </w:rPr>
        <w:t xml:space="preserve">ll </w:t>
      </w:r>
      <w:r>
        <w:rPr>
          <w:rFonts w:cstheme="minorHAnsi"/>
          <w:sz w:val="24"/>
          <w:szCs w:val="24"/>
        </w:rPr>
        <w:t xml:space="preserve">the </w:t>
      </w:r>
      <w:r w:rsidR="007B7690" w:rsidRPr="0073078D">
        <w:rPr>
          <w:rFonts w:cstheme="minorHAnsi"/>
          <w:sz w:val="24"/>
          <w:szCs w:val="24"/>
        </w:rPr>
        <w:t>consecutive and/or interlinked stages throughout the existence of the product or the works or the provision of the service</w:t>
      </w:r>
      <w:r w:rsidR="00F1054C" w:rsidRPr="0073078D">
        <w:rPr>
          <w:rFonts w:cstheme="minorHAnsi"/>
          <w:sz w:val="24"/>
          <w:szCs w:val="24"/>
        </w:rPr>
        <w:t>.</w:t>
      </w:r>
    </w:p>
    <w:p w14:paraId="67B89F66" w14:textId="50EFFB66" w:rsidR="00F1054C" w:rsidRPr="0067153D" w:rsidRDefault="00F1054C" w:rsidP="007B7690">
      <w:pPr>
        <w:jc w:val="both"/>
        <w:rPr>
          <w:rFonts w:cstheme="minorHAnsi"/>
          <w:sz w:val="24"/>
          <w:szCs w:val="24"/>
        </w:rPr>
      </w:pPr>
    </w:p>
    <w:p w14:paraId="30C7F7A7" w14:textId="77777777" w:rsidR="00C61D16" w:rsidRPr="0073078D" w:rsidRDefault="00435803" w:rsidP="00F1054C">
      <w:pPr>
        <w:pStyle w:val="Ttulo2"/>
      </w:pPr>
      <w:r w:rsidRPr="0073078D">
        <w:t>Lots</w:t>
      </w:r>
    </w:p>
    <w:p w14:paraId="02749538" w14:textId="77777777" w:rsidR="0043206A" w:rsidRPr="0073078D" w:rsidRDefault="0043206A" w:rsidP="0043206A">
      <w:pPr>
        <w:pStyle w:val="Sinespaciado"/>
      </w:pPr>
    </w:p>
    <w:p w14:paraId="4D8D26C3" w14:textId="0EE86B55" w:rsidR="000D0AA7" w:rsidRPr="00E82EE8" w:rsidRDefault="000D0AA7" w:rsidP="000D0AA7">
      <w:pPr>
        <w:rPr>
          <w:rFonts w:cstheme="minorHAnsi"/>
          <w:sz w:val="24"/>
          <w:szCs w:val="24"/>
        </w:rPr>
      </w:pPr>
      <w:r w:rsidRPr="0073078D">
        <w:rPr>
          <w:rFonts w:cstheme="minorHAnsi"/>
          <w:sz w:val="24"/>
          <w:szCs w:val="24"/>
        </w:rPr>
        <w:t xml:space="preserve">Lots are the lawful </w:t>
      </w:r>
      <w:r w:rsidRPr="00E82EE8">
        <w:rPr>
          <w:rFonts w:cstheme="minorHAnsi"/>
          <w:sz w:val="24"/>
          <w:szCs w:val="24"/>
        </w:rPr>
        <w:t xml:space="preserve">divisions of </w:t>
      </w:r>
      <w:r w:rsidR="00527C71" w:rsidRPr="00E82EE8">
        <w:rPr>
          <w:rFonts w:cstheme="minorHAnsi"/>
          <w:sz w:val="24"/>
          <w:szCs w:val="24"/>
        </w:rPr>
        <w:t xml:space="preserve">a </w:t>
      </w:r>
      <w:r w:rsidR="0067153D" w:rsidRPr="00E82EE8">
        <w:rPr>
          <w:rFonts w:cstheme="minorHAnsi"/>
          <w:sz w:val="24"/>
          <w:szCs w:val="24"/>
        </w:rPr>
        <w:t>large contract</w:t>
      </w:r>
      <w:r w:rsidR="00527C71" w:rsidRPr="00E82EE8">
        <w:rPr>
          <w:rFonts w:cstheme="minorHAnsi"/>
          <w:sz w:val="24"/>
          <w:szCs w:val="24"/>
        </w:rPr>
        <w:t xml:space="preserve"> into smaller </w:t>
      </w:r>
      <w:r w:rsidR="0067153D" w:rsidRPr="00E82EE8">
        <w:rPr>
          <w:rFonts w:cstheme="minorHAnsi"/>
          <w:sz w:val="24"/>
          <w:szCs w:val="24"/>
        </w:rPr>
        <w:t>contracts</w:t>
      </w:r>
      <w:r w:rsidR="00527C71" w:rsidRPr="00E82EE8">
        <w:rPr>
          <w:rFonts w:cstheme="minorHAnsi"/>
          <w:sz w:val="24"/>
          <w:szCs w:val="24"/>
        </w:rPr>
        <w:t xml:space="preserve">, </w:t>
      </w:r>
      <w:r w:rsidR="0067153D" w:rsidRPr="00E82EE8">
        <w:rPr>
          <w:sz w:val="24"/>
          <w:szCs w:val="24"/>
        </w:rPr>
        <w:t xml:space="preserve">which may be awarded and performed </w:t>
      </w:r>
      <w:r w:rsidR="00E82EE8" w:rsidRPr="00E82EE8">
        <w:rPr>
          <w:sz w:val="24"/>
          <w:szCs w:val="24"/>
        </w:rPr>
        <w:t>by different economic operators</w:t>
      </w:r>
      <w:r w:rsidRPr="00E82EE8">
        <w:rPr>
          <w:rFonts w:cstheme="minorHAnsi"/>
          <w:sz w:val="24"/>
          <w:szCs w:val="24"/>
        </w:rPr>
        <w:t xml:space="preserve">. Article 46 </w:t>
      </w:r>
      <w:r w:rsidR="00BB3E36" w:rsidRPr="00E82EE8">
        <w:rPr>
          <w:rFonts w:cstheme="minorHAnsi"/>
          <w:sz w:val="24"/>
          <w:szCs w:val="24"/>
        </w:rPr>
        <w:t xml:space="preserve">of Directive 2014/24/EU </w:t>
      </w:r>
      <w:r w:rsidRPr="00E82EE8">
        <w:rPr>
          <w:rFonts w:cstheme="minorHAnsi"/>
          <w:sz w:val="24"/>
          <w:szCs w:val="24"/>
        </w:rPr>
        <w:t>allows these divisions as a way to encourage SMEs entering public procurement.</w:t>
      </w:r>
    </w:p>
    <w:p w14:paraId="3B14E122" w14:textId="2FD0581F" w:rsidR="000D0AA7" w:rsidRDefault="00376F92" w:rsidP="000D0AA7">
      <w:pPr>
        <w:rPr>
          <w:rFonts w:cstheme="minorHAnsi"/>
          <w:sz w:val="24"/>
          <w:szCs w:val="24"/>
        </w:rPr>
      </w:pPr>
      <w:r w:rsidRPr="00E82EE8">
        <w:rPr>
          <w:rFonts w:cstheme="minorHAnsi"/>
          <w:sz w:val="24"/>
          <w:szCs w:val="24"/>
        </w:rPr>
        <w:t>However,</w:t>
      </w:r>
      <w:r w:rsidR="000D0AA7" w:rsidRPr="00E82EE8">
        <w:rPr>
          <w:rFonts w:cstheme="minorHAnsi"/>
          <w:sz w:val="24"/>
          <w:szCs w:val="24"/>
        </w:rPr>
        <w:t xml:space="preserve"> it constitutes a risk for corruption since in some</w:t>
      </w:r>
      <w:r w:rsidR="000D0AA7" w:rsidRPr="0073078D">
        <w:rPr>
          <w:rFonts w:cstheme="minorHAnsi"/>
          <w:sz w:val="24"/>
          <w:szCs w:val="24"/>
        </w:rPr>
        <w:t xml:space="preserve"> cases contracting authorities will artificially divide contracts in order to decrease their value and curb European rules. </w:t>
      </w:r>
    </w:p>
    <w:p w14:paraId="2B0D9B1D" w14:textId="77777777" w:rsidR="007B7690" w:rsidRPr="0073078D" w:rsidRDefault="007B7690">
      <w:pPr>
        <w:rPr>
          <w:rFonts w:cstheme="minorHAnsi"/>
          <w:sz w:val="24"/>
          <w:szCs w:val="24"/>
        </w:rPr>
      </w:pPr>
    </w:p>
    <w:p w14:paraId="44045F22" w14:textId="77777777" w:rsidR="000D0AA7" w:rsidRPr="0073078D" w:rsidRDefault="00435803" w:rsidP="00435803">
      <w:pPr>
        <w:pStyle w:val="Ttulo2"/>
        <w:rPr>
          <w:rFonts w:asciiTheme="minorHAnsi" w:hAnsiTheme="minorHAnsi" w:cstheme="minorHAnsi"/>
          <w:sz w:val="24"/>
          <w:szCs w:val="24"/>
        </w:rPr>
      </w:pPr>
      <w:r w:rsidRPr="0073078D">
        <w:rPr>
          <w:rFonts w:asciiTheme="minorHAnsi" w:hAnsiTheme="minorHAnsi" w:cstheme="minorHAnsi"/>
          <w:sz w:val="24"/>
          <w:szCs w:val="24"/>
        </w:rPr>
        <w:t>Modifications to the Contract</w:t>
      </w:r>
    </w:p>
    <w:p w14:paraId="76C26CA5" w14:textId="77777777" w:rsidR="00D53A55" w:rsidRPr="0073078D" w:rsidRDefault="00D53A55" w:rsidP="00D53A55">
      <w:pPr>
        <w:pStyle w:val="Sinespaciado"/>
      </w:pPr>
    </w:p>
    <w:p w14:paraId="1BCEF938" w14:textId="4333E911" w:rsidR="000D0AA7" w:rsidRPr="0073078D" w:rsidRDefault="000D0AA7" w:rsidP="000D0AA7">
      <w:pPr>
        <w:jc w:val="both"/>
        <w:rPr>
          <w:rFonts w:cstheme="minorHAnsi"/>
          <w:sz w:val="24"/>
          <w:szCs w:val="24"/>
        </w:rPr>
      </w:pPr>
      <w:r w:rsidRPr="0073078D">
        <w:rPr>
          <w:rFonts w:cstheme="minorHAnsi"/>
          <w:sz w:val="24"/>
          <w:szCs w:val="24"/>
        </w:rPr>
        <w:t>A contract can be modified without a new procurement procedure when “the modifications, irrespective of their monetary value, have been provided for in the initial procurement documents in clear, precise and unequivocal review clauses”</w:t>
      </w:r>
      <w:r w:rsidR="00E82EE8">
        <w:rPr>
          <w:rFonts w:cstheme="minorHAnsi"/>
          <w:sz w:val="24"/>
          <w:szCs w:val="24"/>
        </w:rPr>
        <w:t>.</w:t>
      </w:r>
      <w:r w:rsidR="002D5B30">
        <w:rPr>
          <w:rStyle w:val="Refdenotaalpie"/>
          <w:rFonts w:cstheme="minorHAnsi"/>
          <w:sz w:val="24"/>
          <w:szCs w:val="24"/>
        </w:rPr>
        <w:footnoteReference w:id="21"/>
      </w:r>
    </w:p>
    <w:p w14:paraId="6E3B95CF" w14:textId="73499B26" w:rsidR="000D0AA7" w:rsidRPr="0073078D" w:rsidRDefault="000D0AA7" w:rsidP="000D0AA7">
      <w:pPr>
        <w:jc w:val="both"/>
        <w:rPr>
          <w:rFonts w:cstheme="minorHAnsi"/>
          <w:sz w:val="24"/>
          <w:szCs w:val="24"/>
        </w:rPr>
      </w:pPr>
      <w:r w:rsidRPr="0073078D">
        <w:rPr>
          <w:rFonts w:cstheme="minorHAnsi"/>
          <w:sz w:val="24"/>
          <w:szCs w:val="24"/>
        </w:rPr>
        <w:lastRenderedPageBreak/>
        <w:t xml:space="preserve">If it is not in the contract, they can </w:t>
      </w:r>
      <w:r w:rsidR="00C84FA0">
        <w:rPr>
          <w:rFonts w:cstheme="minorHAnsi"/>
          <w:sz w:val="24"/>
          <w:szCs w:val="24"/>
        </w:rPr>
        <w:t>only be modified in the following exceptional circumstances</w:t>
      </w:r>
      <w:r w:rsidRPr="0073078D">
        <w:rPr>
          <w:rFonts w:cstheme="minorHAnsi"/>
          <w:sz w:val="24"/>
          <w:szCs w:val="24"/>
        </w:rPr>
        <w:t>, with the additional conditions that the mo</w:t>
      </w:r>
      <w:r w:rsidR="002D5B30">
        <w:rPr>
          <w:rFonts w:cstheme="minorHAnsi"/>
          <w:sz w:val="24"/>
          <w:szCs w:val="24"/>
        </w:rPr>
        <w:t>difications have an objective cause</w:t>
      </w:r>
      <w:r w:rsidRPr="0073078D">
        <w:rPr>
          <w:rFonts w:cstheme="minorHAnsi"/>
          <w:sz w:val="24"/>
          <w:szCs w:val="24"/>
        </w:rPr>
        <w:t xml:space="preserve"> and that they do </w:t>
      </w:r>
      <w:r w:rsidR="00C84FA0">
        <w:rPr>
          <w:rFonts w:cstheme="minorHAnsi"/>
          <w:sz w:val="24"/>
          <w:szCs w:val="24"/>
        </w:rPr>
        <w:t>not alter the contract’s nature:</w:t>
      </w:r>
    </w:p>
    <w:p w14:paraId="7EEF1670" w14:textId="62FAF6BA" w:rsidR="000D0AA7" w:rsidRPr="0073078D" w:rsidRDefault="00C84FA0" w:rsidP="006F052A">
      <w:pPr>
        <w:pStyle w:val="Prrafodelista"/>
        <w:numPr>
          <w:ilvl w:val="0"/>
          <w:numId w:val="11"/>
        </w:numPr>
        <w:rPr>
          <w:rFonts w:cstheme="minorHAnsi"/>
          <w:sz w:val="24"/>
          <w:szCs w:val="24"/>
        </w:rPr>
      </w:pPr>
      <w:r>
        <w:rPr>
          <w:rFonts w:cstheme="minorHAnsi"/>
          <w:sz w:val="24"/>
          <w:szCs w:val="24"/>
        </w:rPr>
        <w:t xml:space="preserve">Modifications </w:t>
      </w:r>
      <w:r w:rsidR="00376F92">
        <w:rPr>
          <w:rFonts w:cstheme="minorHAnsi"/>
          <w:sz w:val="24"/>
          <w:szCs w:val="24"/>
        </w:rPr>
        <w:t>are not</w:t>
      </w:r>
      <w:r>
        <w:rPr>
          <w:rFonts w:cstheme="minorHAnsi"/>
          <w:sz w:val="24"/>
          <w:szCs w:val="24"/>
        </w:rPr>
        <w:t xml:space="preserve"> considered to be “s</w:t>
      </w:r>
      <w:r w:rsidR="000D0AA7" w:rsidRPr="0073078D">
        <w:rPr>
          <w:rFonts w:cstheme="minorHAnsi"/>
          <w:sz w:val="24"/>
          <w:szCs w:val="24"/>
        </w:rPr>
        <w:t>ubstantial</w:t>
      </w:r>
      <w:r>
        <w:rPr>
          <w:rFonts w:cstheme="minorHAnsi"/>
          <w:sz w:val="24"/>
          <w:szCs w:val="24"/>
        </w:rPr>
        <w:t>”. The following are considered to be substantial modifications:</w:t>
      </w:r>
    </w:p>
    <w:p w14:paraId="353CCAC9" w14:textId="77777777" w:rsidR="000D0AA7" w:rsidRPr="0073078D" w:rsidRDefault="000D0AA7" w:rsidP="000D0AA7">
      <w:pPr>
        <w:pStyle w:val="Prrafodelista"/>
        <w:numPr>
          <w:ilvl w:val="1"/>
          <w:numId w:val="9"/>
        </w:numPr>
        <w:rPr>
          <w:rFonts w:cstheme="minorHAnsi"/>
          <w:color w:val="FF0000"/>
          <w:sz w:val="24"/>
          <w:szCs w:val="24"/>
        </w:rPr>
      </w:pPr>
      <w:r w:rsidRPr="0073078D">
        <w:rPr>
          <w:rFonts w:cstheme="minorHAnsi"/>
          <w:sz w:val="24"/>
          <w:szCs w:val="24"/>
        </w:rPr>
        <w:t xml:space="preserve">the modification introduces conditions which, had they been part of the initial procurement procedure, would have allowed for the admission of other candidates than those initially selected or for the acceptance of a tender other than that originally accepted or would have attracted additional participants in the procurement procedure; </w:t>
      </w:r>
    </w:p>
    <w:p w14:paraId="783C63D9" w14:textId="72FBBED7" w:rsidR="000D0AA7" w:rsidRPr="0073078D" w:rsidRDefault="00C84FA0" w:rsidP="000D0AA7">
      <w:pPr>
        <w:pStyle w:val="Prrafodelista"/>
        <w:numPr>
          <w:ilvl w:val="1"/>
          <w:numId w:val="9"/>
        </w:numPr>
        <w:rPr>
          <w:rFonts w:cstheme="minorHAnsi"/>
          <w:color w:val="FF0000"/>
          <w:sz w:val="24"/>
          <w:szCs w:val="24"/>
        </w:rPr>
      </w:pPr>
      <w:r>
        <w:rPr>
          <w:rFonts w:cstheme="minorHAnsi"/>
          <w:sz w:val="24"/>
          <w:szCs w:val="24"/>
        </w:rPr>
        <w:t>t</w:t>
      </w:r>
      <w:r w:rsidR="000D0AA7" w:rsidRPr="0073078D">
        <w:rPr>
          <w:rFonts w:cstheme="minorHAnsi"/>
          <w:sz w:val="24"/>
          <w:szCs w:val="24"/>
        </w:rPr>
        <w:t xml:space="preserve">he modification changes the economic balance of the contract. For example, when the new works would cost more </w:t>
      </w:r>
      <w:r w:rsidR="00E82EE8">
        <w:rPr>
          <w:rFonts w:cstheme="minorHAnsi"/>
          <w:sz w:val="24"/>
          <w:szCs w:val="24"/>
        </w:rPr>
        <w:t>than 50% of the original budget;</w:t>
      </w:r>
    </w:p>
    <w:p w14:paraId="3FCF6C13" w14:textId="39B9AD40" w:rsidR="000D0AA7" w:rsidRPr="00C84FA0" w:rsidRDefault="000D0AA7" w:rsidP="000D0AA7">
      <w:pPr>
        <w:pStyle w:val="Prrafodelista"/>
        <w:numPr>
          <w:ilvl w:val="1"/>
          <w:numId w:val="9"/>
        </w:numPr>
        <w:rPr>
          <w:rFonts w:cstheme="minorHAnsi"/>
          <w:color w:val="FF0000"/>
          <w:sz w:val="24"/>
          <w:szCs w:val="24"/>
        </w:rPr>
      </w:pPr>
      <w:r w:rsidRPr="0073078D">
        <w:rPr>
          <w:rFonts w:cstheme="minorHAnsi"/>
          <w:sz w:val="24"/>
          <w:szCs w:val="24"/>
        </w:rPr>
        <w:t>the scope of the contract is significantly extended. This happens whenever the total budget is increased by more than 15% in public works or 10% in the rest. This is also the case when after making the modifications a contract not previously under the Directives reaches the thresholds.</w:t>
      </w:r>
    </w:p>
    <w:p w14:paraId="2338314A" w14:textId="77777777" w:rsidR="00C84FA0" w:rsidRPr="0073078D" w:rsidRDefault="00C84FA0" w:rsidP="00C84FA0">
      <w:pPr>
        <w:pStyle w:val="Prrafodelista"/>
        <w:ind w:left="1785"/>
        <w:rPr>
          <w:rFonts w:cstheme="minorHAnsi"/>
          <w:color w:val="FF0000"/>
          <w:sz w:val="24"/>
          <w:szCs w:val="24"/>
        </w:rPr>
      </w:pPr>
    </w:p>
    <w:p w14:paraId="1371F2A4" w14:textId="3DC7B0D6" w:rsidR="000D0AA7" w:rsidRPr="00C84FA0" w:rsidRDefault="000D0AA7" w:rsidP="006F052A">
      <w:pPr>
        <w:pStyle w:val="Prrafodelista"/>
        <w:numPr>
          <w:ilvl w:val="0"/>
          <w:numId w:val="11"/>
        </w:numPr>
        <w:jc w:val="both"/>
        <w:rPr>
          <w:rFonts w:cstheme="minorHAnsi"/>
          <w:color w:val="FF0000"/>
          <w:sz w:val="24"/>
          <w:szCs w:val="24"/>
        </w:rPr>
      </w:pPr>
      <w:r w:rsidRPr="0073078D">
        <w:rPr>
          <w:rFonts w:cstheme="minorHAnsi"/>
          <w:sz w:val="24"/>
          <w:szCs w:val="24"/>
        </w:rPr>
        <w:t>For additional works, services or supplies by the original contractor that have become necessary and that were not included in the initial procurement where a change of contractor cannot be made for economic or technical reasons or would cause significant inconvenience or substantial duplication of costs</w:t>
      </w:r>
      <w:r w:rsidR="00E82EE8">
        <w:rPr>
          <w:rFonts w:cstheme="minorHAnsi"/>
          <w:sz w:val="24"/>
          <w:szCs w:val="24"/>
        </w:rPr>
        <w:t>.</w:t>
      </w:r>
    </w:p>
    <w:p w14:paraId="30D7CA20" w14:textId="77777777" w:rsidR="00C84FA0" w:rsidRPr="0073078D" w:rsidRDefault="00C84FA0" w:rsidP="00C84FA0">
      <w:pPr>
        <w:pStyle w:val="Prrafodelista"/>
        <w:ind w:left="1065"/>
        <w:jc w:val="both"/>
        <w:rPr>
          <w:rFonts w:cstheme="minorHAnsi"/>
          <w:color w:val="FF0000"/>
          <w:sz w:val="24"/>
          <w:szCs w:val="24"/>
        </w:rPr>
      </w:pPr>
    </w:p>
    <w:p w14:paraId="157639F9" w14:textId="358F9ED6" w:rsidR="000D0AA7" w:rsidRPr="0073078D" w:rsidRDefault="000D0AA7" w:rsidP="006F052A">
      <w:pPr>
        <w:pStyle w:val="Prrafodelista"/>
        <w:numPr>
          <w:ilvl w:val="0"/>
          <w:numId w:val="11"/>
        </w:numPr>
        <w:shd w:val="clear" w:color="auto" w:fill="FFFFFF"/>
        <w:spacing w:after="0" w:line="240" w:lineRule="auto"/>
        <w:jc w:val="both"/>
        <w:rPr>
          <w:rFonts w:eastAsia="Times New Roman" w:cstheme="minorHAnsi"/>
          <w:i/>
          <w:sz w:val="24"/>
          <w:szCs w:val="24"/>
          <w:lang w:eastAsia="en-GB"/>
        </w:rPr>
      </w:pPr>
      <w:r w:rsidRPr="0073078D">
        <w:rPr>
          <w:rFonts w:cstheme="minorHAnsi"/>
          <w:sz w:val="24"/>
          <w:szCs w:val="24"/>
        </w:rPr>
        <w:t>The need of modification has been brought about by a change of circumstances, which a diligent contracting authority could not have foreseen</w:t>
      </w:r>
      <w:r w:rsidR="00E82EE8">
        <w:rPr>
          <w:rFonts w:cstheme="minorHAnsi"/>
          <w:sz w:val="24"/>
          <w:szCs w:val="24"/>
        </w:rPr>
        <w:t>.</w:t>
      </w:r>
    </w:p>
    <w:p w14:paraId="739AC85D" w14:textId="77777777" w:rsidR="000D0AA7" w:rsidRPr="0073078D" w:rsidRDefault="000D0AA7" w:rsidP="000D0AA7">
      <w:pPr>
        <w:shd w:val="clear" w:color="auto" w:fill="FFFFFF"/>
        <w:spacing w:after="0" w:line="240" w:lineRule="auto"/>
        <w:jc w:val="both"/>
        <w:rPr>
          <w:rFonts w:eastAsia="Times New Roman" w:cstheme="minorHAnsi"/>
          <w:i/>
          <w:sz w:val="24"/>
          <w:szCs w:val="24"/>
          <w:lang w:eastAsia="en-GB"/>
        </w:rPr>
      </w:pPr>
    </w:p>
    <w:p w14:paraId="14059FDC" w14:textId="77777777" w:rsidR="000D0AA7" w:rsidRPr="000A1FC5" w:rsidRDefault="000D0AA7" w:rsidP="000D0AA7">
      <w:pPr>
        <w:shd w:val="clear" w:color="auto" w:fill="FFFFFF"/>
        <w:spacing w:after="0" w:line="240" w:lineRule="auto"/>
        <w:jc w:val="both"/>
        <w:rPr>
          <w:rFonts w:eastAsia="Times New Roman" w:cstheme="minorHAnsi"/>
          <w:sz w:val="24"/>
          <w:szCs w:val="24"/>
          <w:lang w:eastAsia="en-GB"/>
        </w:rPr>
      </w:pPr>
      <w:r w:rsidRPr="000A1FC5">
        <w:rPr>
          <w:rFonts w:eastAsia="Times New Roman" w:cstheme="minorHAnsi"/>
          <w:sz w:val="24"/>
          <w:szCs w:val="24"/>
          <w:lang w:eastAsia="en-GB"/>
        </w:rPr>
        <w:t>For all these cases, the sum of all modifications cannot be higher than 50% of the value of the original contract.</w:t>
      </w:r>
      <w:r w:rsidR="00435803" w:rsidRPr="000A1FC5">
        <w:rPr>
          <w:rStyle w:val="Refdenotaalpie"/>
          <w:rFonts w:eastAsia="Times New Roman" w:cstheme="minorHAnsi"/>
          <w:sz w:val="24"/>
          <w:szCs w:val="24"/>
          <w:lang w:eastAsia="en-GB"/>
        </w:rPr>
        <w:footnoteReference w:id="22"/>
      </w:r>
    </w:p>
    <w:p w14:paraId="36D26901" w14:textId="77777777" w:rsidR="000D0AA7" w:rsidRPr="0073078D" w:rsidRDefault="000D0AA7" w:rsidP="000D0AA7">
      <w:pPr>
        <w:rPr>
          <w:rFonts w:cstheme="minorHAnsi"/>
          <w:b/>
          <w:sz w:val="24"/>
          <w:szCs w:val="24"/>
        </w:rPr>
      </w:pPr>
    </w:p>
    <w:p w14:paraId="41131A0A" w14:textId="77777777" w:rsidR="007B7690" w:rsidRPr="0073078D" w:rsidRDefault="007B7690" w:rsidP="007B7690">
      <w:pPr>
        <w:pStyle w:val="Ttulo2"/>
        <w:rPr>
          <w:rFonts w:asciiTheme="minorHAnsi" w:hAnsiTheme="minorHAnsi" w:cstheme="minorHAnsi"/>
          <w:sz w:val="24"/>
          <w:szCs w:val="24"/>
        </w:rPr>
      </w:pPr>
      <w:r w:rsidRPr="0073078D">
        <w:rPr>
          <w:rFonts w:asciiTheme="minorHAnsi" w:hAnsiTheme="minorHAnsi" w:cstheme="minorHAnsi"/>
          <w:sz w:val="24"/>
          <w:szCs w:val="24"/>
        </w:rPr>
        <w:t>OJ</w:t>
      </w:r>
      <w:r w:rsidR="00C96338" w:rsidRPr="0073078D">
        <w:rPr>
          <w:rFonts w:asciiTheme="minorHAnsi" w:hAnsiTheme="minorHAnsi" w:cstheme="minorHAnsi"/>
          <w:sz w:val="24"/>
          <w:szCs w:val="24"/>
        </w:rPr>
        <w:t>EU</w:t>
      </w:r>
    </w:p>
    <w:p w14:paraId="14DAC0D6" w14:textId="77777777" w:rsidR="007B7690" w:rsidRPr="0073078D" w:rsidRDefault="007B7690" w:rsidP="007B7690">
      <w:pPr>
        <w:pStyle w:val="Sinespaciado"/>
        <w:rPr>
          <w:rFonts w:cstheme="minorHAnsi"/>
          <w:sz w:val="24"/>
          <w:szCs w:val="24"/>
        </w:rPr>
      </w:pPr>
    </w:p>
    <w:p w14:paraId="272484FF" w14:textId="77777777" w:rsidR="007B7690" w:rsidRPr="0073078D" w:rsidRDefault="007B7690" w:rsidP="007B7690">
      <w:pPr>
        <w:rPr>
          <w:rFonts w:cstheme="minorHAnsi"/>
          <w:sz w:val="24"/>
          <w:szCs w:val="24"/>
        </w:rPr>
      </w:pPr>
      <w:r w:rsidRPr="0073078D">
        <w:rPr>
          <w:rFonts w:cstheme="minorHAnsi"/>
          <w:sz w:val="24"/>
          <w:szCs w:val="24"/>
        </w:rPr>
        <w:t>Official Journal of the European Union, commonly known as “the OJ”, is the official gazette of the EU and is the formal source of EU legislative information. It is published daily in all the official languages of the EU.</w:t>
      </w:r>
    </w:p>
    <w:p w14:paraId="3F0EE767" w14:textId="1098FFB2" w:rsidR="007B7690" w:rsidRPr="0073078D" w:rsidRDefault="007B7690">
      <w:pPr>
        <w:rPr>
          <w:rFonts w:cstheme="minorHAnsi"/>
          <w:sz w:val="24"/>
          <w:szCs w:val="24"/>
          <w:shd w:val="clear" w:color="auto" w:fill="FFFFFF"/>
        </w:rPr>
      </w:pPr>
      <w:r w:rsidRPr="0073078D">
        <w:rPr>
          <w:rFonts w:cstheme="minorHAnsi"/>
          <w:sz w:val="24"/>
          <w:szCs w:val="24"/>
          <w:shd w:val="clear" w:color="auto" w:fill="FFFFFF"/>
        </w:rPr>
        <w:t xml:space="preserve">All tenders from the public sector which are valued above a certain financial threshold according to EU </w:t>
      </w:r>
      <w:r w:rsidR="00376F92" w:rsidRPr="0073078D">
        <w:rPr>
          <w:rFonts w:cstheme="minorHAnsi"/>
          <w:sz w:val="24"/>
          <w:szCs w:val="24"/>
          <w:shd w:val="clear" w:color="auto" w:fill="FFFFFF"/>
        </w:rPr>
        <w:t>legislation</w:t>
      </w:r>
      <w:r w:rsidRPr="0073078D">
        <w:rPr>
          <w:rFonts w:cstheme="minorHAnsi"/>
          <w:sz w:val="24"/>
          <w:szCs w:val="24"/>
          <w:shd w:val="clear" w:color="auto" w:fill="FFFFFF"/>
        </w:rPr>
        <w:t xml:space="preserve"> must be published in the OJ</w:t>
      </w:r>
      <w:r w:rsidR="00C96338" w:rsidRPr="0073078D">
        <w:rPr>
          <w:rFonts w:cstheme="minorHAnsi"/>
          <w:sz w:val="24"/>
          <w:szCs w:val="24"/>
          <w:shd w:val="clear" w:color="auto" w:fill="FFFFFF"/>
        </w:rPr>
        <w:t>EU</w:t>
      </w:r>
      <w:r w:rsidRPr="0073078D">
        <w:rPr>
          <w:rFonts w:cstheme="minorHAnsi"/>
          <w:sz w:val="24"/>
          <w:szCs w:val="24"/>
          <w:shd w:val="clear" w:color="auto" w:fill="FFFFFF"/>
        </w:rPr>
        <w:t>.</w:t>
      </w:r>
      <w:r w:rsidRPr="0073078D">
        <w:rPr>
          <w:rStyle w:val="Refdenotaalpie"/>
          <w:rFonts w:cstheme="minorHAnsi"/>
          <w:sz w:val="24"/>
          <w:szCs w:val="24"/>
          <w:shd w:val="clear" w:color="auto" w:fill="FFFFFF"/>
        </w:rPr>
        <w:footnoteReference w:id="23"/>
      </w:r>
    </w:p>
    <w:p w14:paraId="39D0402C" w14:textId="479631C3" w:rsidR="00435803" w:rsidRPr="0073078D" w:rsidRDefault="00C96338">
      <w:pPr>
        <w:rPr>
          <w:rFonts w:cstheme="minorHAnsi"/>
          <w:sz w:val="24"/>
          <w:szCs w:val="24"/>
          <w:shd w:val="clear" w:color="auto" w:fill="FFFFFF"/>
        </w:rPr>
      </w:pPr>
      <w:r w:rsidRPr="0073078D">
        <w:rPr>
          <w:rFonts w:cstheme="minorHAnsi"/>
          <w:sz w:val="24"/>
          <w:szCs w:val="24"/>
          <w:shd w:val="clear" w:color="auto" w:fill="FFFFFF"/>
        </w:rPr>
        <w:lastRenderedPageBreak/>
        <w:t xml:space="preserve">There are </w:t>
      </w:r>
      <w:r w:rsidR="00376F92" w:rsidRPr="0073078D">
        <w:rPr>
          <w:rFonts w:cstheme="minorHAnsi"/>
          <w:sz w:val="24"/>
          <w:szCs w:val="24"/>
          <w:shd w:val="clear" w:color="auto" w:fill="FFFFFF"/>
        </w:rPr>
        <w:t>three</w:t>
      </w:r>
      <w:r w:rsidR="0078722A" w:rsidRPr="0073078D">
        <w:rPr>
          <w:rFonts w:cstheme="minorHAnsi"/>
          <w:sz w:val="24"/>
          <w:szCs w:val="24"/>
          <w:shd w:val="clear" w:color="auto" w:fill="FFFFFF"/>
        </w:rPr>
        <w:t xml:space="preserve"> main notices that must be advertised in the OJEU for above the threshold procurement projects:</w:t>
      </w:r>
    </w:p>
    <w:p w14:paraId="053AA517" w14:textId="77777777" w:rsidR="0078722A" w:rsidRPr="0073078D" w:rsidRDefault="0078722A" w:rsidP="0078722A">
      <w:pPr>
        <w:pStyle w:val="Prrafodelista"/>
        <w:numPr>
          <w:ilvl w:val="0"/>
          <w:numId w:val="12"/>
        </w:numPr>
        <w:rPr>
          <w:rFonts w:cstheme="minorHAnsi"/>
          <w:sz w:val="24"/>
          <w:szCs w:val="24"/>
          <w:shd w:val="clear" w:color="auto" w:fill="FFFFFF"/>
        </w:rPr>
      </w:pPr>
      <w:r w:rsidRPr="0073078D">
        <w:rPr>
          <w:rFonts w:cstheme="minorHAnsi"/>
          <w:sz w:val="24"/>
          <w:szCs w:val="24"/>
          <w:shd w:val="clear" w:color="auto" w:fill="FFFFFF"/>
        </w:rPr>
        <w:t xml:space="preserve">Prior Information Notice (PIN) – while not mandatory, this notice allows contracting authorities to inform the market of its upcoming contracts within the year. </w:t>
      </w:r>
    </w:p>
    <w:p w14:paraId="35DC134F" w14:textId="77777777" w:rsidR="0078722A" w:rsidRPr="0073078D" w:rsidRDefault="0078722A" w:rsidP="0078722A">
      <w:pPr>
        <w:pStyle w:val="Prrafodelista"/>
        <w:numPr>
          <w:ilvl w:val="0"/>
          <w:numId w:val="12"/>
        </w:numPr>
        <w:rPr>
          <w:rFonts w:cstheme="minorHAnsi"/>
          <w:sz w:val="24"/>
          <w:szCs w:val="24"/>
          <w:shd w:val="clear" w:color="auto" w:fill="FFFFFF"/>
        </w:rPr>
      </w:pPr>
      <w:r w:rsidRPr="0073078D">
        <w:rPr>
          <w:rFonts w:cstheme="minorHAnsi"/>
          <w:sz w:val="24"/>
          <w:szCs w:val="24"/>
          <w:shd w:val="clear" w:color="auto" w:fill="FFFFFF"/>
        </w:rPr>
        <w:t xml:space="preserve">Contract Notice (CN) – this is a mandatory notice which is used to launch a procurement procedure containing fundamental information about the contract. </w:t>
      </w:r>
    </w:p>
    <w:p w14:paraId="56DDA121" w14:textId="77777777" w:rsidR="0078722A" w:rsidRPr="0073078D" w:rsidRDefault="0078722A" w:rsidP="0078722A">
      <w:pPr>
        <w:pStyle w:val="Prrafodelista"/>
        <w:numPr>
          <w:ilvl w:val="0"/>
          <w:numId w:val="12"/>
        </w:numPr>
        <w:rPr>
          <w:rFonts w:cstheme="minorHAnsi"/>
          <w:sz w:val="24"/>
          <w:szCs w:val="24"/>
          <w:shd w:val="clear" w:color="auto" w:fill="FFFFFF"/>
        </w:rPr>
      </w:pPr>
      <w:r w:rsidRPr="0073078D">
        <w:rPr>
          <w:rFonts w:cstheme="minorHAnsi"/>
          <w:sz w:val="24"/>
          <w:szCs w:val="24"/>
          <w:shd w:val="clear" w:color="auto" w:fill="FFFFFF"/>
        </w:rPr>
        <w:t>Contract Award Notice (CAN) – also mandatory, this notice informs the mar</w:t>
      </w:r>
      <w:r w:rsidR="00032873" w:rsidRPr="0073078D">
        <w:rPr>
          <w:rFonts w:cstheme="minorHAnsi"/>
          <w:sz w:val="24"/>
          <w:szCs w:val="24"/>
          <w:shd w:val="clear" w:color="auto" w:fill="FFFFFF"/>
        </w:rPr>
        <w:t xml:space="preserve">ket of the outcome of the procurement procedure. </w:t>
      </w:r>
      <w:r w:rsidR="00032873" w:rsidRPr="0073078D">
        <w:rPr>
          <w:rStyle w:val="Refdenotaalpie"/>
          <w:rFonts w:cstheme="minorHAnsi"/>
          <w:sz w:val="24"/>
          <w:szCs w:val="24"/>
          <w:shd w:val="clear" w:color="auto" w:fill="FFFFFF"/>
        </w:rPr>
        <w:footnoteReference w:id="24"/>
      </w:r>
    </w:p>
    <w:p w14:paraId="6FA9087D" w14:textId="70C4090D" w:rsidR="007B7690" w:rsidRPr="0073078D" w:rsidRDefault="007B7690" w:rsidP="007B7690">
      <w:pPr>
        <w:rPr>
          <w:rFonts w:cstheme="minorHAnsi"/>
          <w:b/>
          <w:sz w:val="24"/>
          <w:szCs w:val="24"/>
        </w:rPr>
      </w:pPr>
    </w:p>
    <w:p w14:paraId="73BE051F" w14:textId="77777777" w:rsidR="008A02CC" w:rsidRPr="0073078D" w:rsidRDefault="008A02CC" w:rsidP="008A02CC">
      <w:pPr>
        <w:pStyle w:val="Ttulo2"/>
      </w:pPr>
      <w:r w:rsidRPr="0073078D">
        <w:t>Open Procedure</w:t>
      </w:r>
    </w:p>
    <w:p w14:paraId="5BD75C2A" w14:textId="77777777" w:rsidR="008A02CC" w:rsidRPr="0073078D" w:rsidRDefault="008A02CC" w:rsidP="008A02CC">
      <w:pPr>
        <w:pStyle w:val="Sinespaciado"/>
      </w:pPr>
    </w:p>
    <w:p w14:paraId="6FF7924B" w14:textId="77777777" w:rsidR="008A02CC" w:rsidRPr="0073078D" w:rsidRDefault="008A02CC" w:rsidP="008A02CC">
      <w:pPr>
        <w:jc w:val="both"/>
        <w:rPr>
          <w:rFonts w:cstheme="minorHAnsi"/>
          <w:sz w:val="24"/>
          <w:szCs w:val="24"/>
        </w:rPr>
      </w:pPr>
      <w:r w:rsidRPr="0073078D">
        <w:rPr>
          <w:rFonts w:cstheme="minorHAnsi"/>
          <w:sz w:val="24"/>
          <w:szCs w:val="24"/>
        </w:rPr>
        <w:t xml:space="preserve">In </w:t>
      </w:r>
      <w:r>
        <w:rPr>
          <w:rFonts w:cstheme="minorHAnsi"/>
          <w:sz w:val="24"/>
          <w:szCs w:val="24"/>
        </w:rPr>
        <w:t>Open P</w:t>
      </w:r>
      <w:r w:rsidRPr="0073078D">
        <w:rPr>
          <w:rFonts w:cstheme="minorHAnsi"/>
          <w:sz w:val="24"/>
          <w:szCs w:val="24"/>
        </w:rPr>
        <w:t xml:space="preserve">rocedures, tendering is public, therefore any interested economic operator may submit a tender in response to a call for competition within the Official Journal of the European Union </w:t>
      </w:r>
      <w:r>
        <w:rPr>
          <w:rFonts w:cstheme="minorHAnsi"/>
          <w:sz w:val="24"/>
          <w:szCs w:val="24"/>
        </w:rPr>
        <w:t>(</w:t>
      </w:r>
      <w:r w:rsidRPr="0073078D">
        <w:rPr>
          <w:rFonts w:cstheme="minorHAnsi"/>
          <w:sz w:val="24"/>
          <w:szCs w:val="24"/>
        </w:rPr>
        <w:t>OJEU</w:t>
      </w:r>
      <w:r>
        <w:rPr>
          <w:rFonts w:cstheme="minorHAnsi"/>
          <w:sz w:val="24"/>
          <w:szCs w:val="24"/>
        </w:rPr>
        <w:t>)</w:t>
      </w:r>
      <w:r w:rsidRPr="0073078D">
        <w:rPr>
          <w:rFonts w:cstheme="minorHAnsi"/>
          <w:sz w:val="24"/>
          <w:szCs w:val="24"/>
        </w:rPr>
        <w:t xml:space="preserve"> by submitting a tender for the contract.</w:t>
      </w:r>
      <w:r w:rsidRPr="0073078D">
        <w:rPr>
          <w:rStyle w:val="Refdenotaalpie"/>
          <w:rFonts w:cstheme="minorHAnsi"/>
          <w:sz w:val="24"/>
          <w:szCs w:val="24"/>
        </w:rPr>
        <w:footnoteReference w:id="25"/>
      </w:r>
      <w:r w:rsidRPr="0073078D">
        <w:rPr>
          <w:rFonts w:cstheme="minorHAnsi"/>
          <w:sz w:val="24"/>
          <w:szCs w:val="24"/>
        </w:rPr>
        <w:t xml:space="preserve"> </w:t>
      </w:r>
    </w:p>
    <w:p w14:paraId="07B43BB0" w14:textId="77777777" w:rsidR="008A02CC" w:rsidRPr="0073078D" w:rsidRDefault="008A02CC" w:rsidP="008A02CC">
      <w:pPr>
        <w:jc w:val="both"/>
        <w:rPr>
          <w:rFonts w:cstheme="minorHAnsi"/>
          <w:sz w:val="24"/>
          <w:szCs w:val="24"/>
        </w:rPr>
      </w:pPr>
      <w:r w:rsidRPr="0073078D">
        <w:rPr>
          <w:rFonts w:cstheme="minorHAnsi"/>
          <w:sz w:val="24"/>
          <w:szCs w:val="24"/>
        </w:rPr>
        <w:t xml:space="preserve">The selection and evaluation is carried out after the tenders have been submitted. All tenders must be considered without any form of prior selection process. </w:t>
      </w:r>
      <w:r w:rsidRPr="0073078D">
        <w:rPr>
          <w:rStyle w:val="Refdenotaalpie"/>
          <w:rFonts w:cstheme="minorHAnsi"/>
          <w:sz w:val="24"/>
          <w:szCs w:val="24"/>
        </w:rPr>
        <w:footnoteReference w:id="26"/>
      </w:r>
    </w:p>
    <w:p w14:paraId="28628CE8" w14:textId="77777777" w:rsidR="008A02CC" w:rsidRPr="0073078D" w:rsidRDefault="008A02CC" w:rsidP="008A02CC">
      <w:pPr>
        <w:jc w:val="both"/>
        <w:rPr>
          <w:rFonts w:cstheme="minorHAnsi"/>
          <w:sz w:val="24"/>
          <w:szCs w:val="24"/>
        </w:rPr>
      </w:pPr>
      <w:r w:rsidRPr="0073078D">
        <w:rPr>
          <w:rFonts w:cstheme="minorHAnsi"/>
          <w:sz w:val="24"/>
          <w:szCs w:val="24"/>
        </w:rPr>
        <w:t>This process is also known as open tendering, competitive bidding, open competition, or open solicitation.</w:t>
      </w:r>
    </w:p>
    <w:p w14:paraId="19FD0215" w14:textId="02C0B89B" w:rsidR="00D40105" w:rsidRDefault="00D40105" w:rsidP="007B7690">
      <w:pPr>
        <w:pStyle w:val="Ttulo2"/>
        <w:rPr>
          <w:rFonts w:asciiTheme="minorHAnsi" w:hAnsiTheme="minorHAnsi" w:cstheme="minorHAnsi"/>
          <w:sz w:val="24"/>
          <w:szCs w:val="24"/>
        </w:rPr>
      </w:pPr>
    </w:p>
    <w:p w14:paraId="2B9C3C33" w14:textId="77777777" w:rsidR="00376F92" w:rsidRPr="0073078D" w:rsidRDefault="00376F92" w:rsidP="00376F92">
      <w:pPr>
        <w:pStyle w:val="Ttulo2"/>
        <w:rPr>
          <w:rFonts w:asciiTheme="minorHAnsi" w:hAnsiTheme="minorHAnsi" w:cstheme="minorHAnsi"/>
          <w:sz w:val="24"/>
          <w:szCs w:val="24"/>
        </w:rPr>
      </w:pPr>
      <w:r w:rsidRPr="0073078D">
        <w:rPr>
          <w:rFonts w:asciiTheme="minorHAnsi" w:hAnsiTheme="minorHAnsi" w:cstheme="minorHAnsi"/>
          <w:sz w:val="24"/>
          <w:szCs w:val="24"/>
        </w:rPr>
        <w:t>Preliminary Market Consultations</w:t>
      </w:r>
    </w:p>
    <w:p w14:paraId="23BE2966" w14:textId="77777777" w:rsidR="00376F92" w:rsidRPr="0073078D" w:rsidRDefault="00376F92" w:rsidP="00376F92">
      <w:pPr>
        <w:pStyle w:val="Sinespaciado"/>
        <w:rPr>
          <w:rFonts w:cstheme="minorHAnsi"/>
          <w:sz w:val="24"/>
          <w:szCs w:val="24"/>
        </w:rPr>
      </w:pPr>
    </w:p>
    <w:p w14:paraId="514702B9" w14:textId="77777777" w:rsidR="00376F92" w:rsidRPr="0073078D" w:rsidRDefault="00376F92" w:rsidP="00376F92">
      <w:pPr>
        <w:rPr>
          <w:rFonts w:cstheme="minorHAnsi"/>
          <w:sz w:val="24"/>
          <w:szCs w:val="24"/>
        </w:rPr>
      </w:pPr>
      <w:r w:rsidRPr="0073078D">
        <w:rPr>
          <w:rFonts w:cstheme="minorHAnsi"/>
          <w:sz w:val="24"/>
          <w:szCs w:val="24"/>
        </w:rPr>
        <w:t>Before launching a procurement procedure, contracting authorities may conduct market consultations in order to prepare the procurement and inform economic operators of their procurement plans and requirements.</w:t>
      </w:r>
      <w:r w:rsidRPr="0073078D">
        <w:rPr>
          <w:rStyle w:val="Refdenotaalpie"/>
          <w:rFonts w:cstheme="minorHAnsi"/>
          <w:sz w:val="24"/>
          <w:szCs w:val="24"/>
        </w:rPr>
        <w:footnoteReference w:id="27"/>
      </w:r>
    </w:p>
    <w:p w14:paraId="2C4056CA" w14:textId="77777777" w:rsidR="00376F92" w:rsidRPr="0073078D" w:rsidRDefault="00376F92" w:rsidP="00376F92">
      <w:pPr>
        <w:rPr>
          <w:rFonts w:cstheme="minorHAnsi"/>
          <w:sz w:val="24"/>
          <w:szCs w:val="24"/>
        </w:rPr>
      </w:pPr>
      <w:r w:rsidRPr="0073078D">
        <w:rPr>
          <w:rFonts w:cstheme="minorHAnsi"/>
          <w:sz w:val="24"/>
          <w:szCs w:val="24"/>
        </w:rPr>
        <w:t xml:space="preserve">A preliminary market consultation involves interviewing market stakeholders or contacting experts within the field. </w:t>
      </w:r>
      <w:r w:rsidRPr="0073078D">
        <w:rPr>
          <w:rStyle w:val="Refdenotaalpie"/>
          <w:rFonts w:cstheme="minorHAnsi"/>
          <w:sz w:val="24"/>
          <w:szCs w:val="24"/>
        </w:rPr>
        <w:footnoteReference w:id="28"/>
      </w:r>
    </w:p>
    <w:p w14:paraId="79490E91" w14:textId="2D44D732" w:rsidR="00D40105" w:rsidRDefault="00D40105" w:rsidP="007B7690">
      <w:pPr>
        <w:pStyle w:val="Ttulo2"/>
        <w:rPr>
          <w:rFonts w:asciiTheme="minorHAnsi" w:hAnsiTheme="minorHAnsi" w:cstheme="minorHAnsi"/>
          <w:sz w:val="24"/>
          <w:szCs w:val="24"/>
        </w:rPr>
      </w:pPr>
    </w:p>
    <w:p w14:paraId="45006777" w14:textId="3B8E12F4" w:rsidR="00376F92" w:rsidRDefault="00376F92" w:rsidP="00376F92"/>
    <w:p w14:paraId="5479E27F" w14:textId="77777777" w:rsidR="00376F92" w:rsidRPr="00376F92" w:rsidRDefault="00376F92" w:rsidP="00376F92"/>
    <w:p w14:paraId="42B7A7E2" w14:textId="1A458D43" w:rsidR="007B7690" w:rsidRPr="0073078D" w:rsidRDefault="00D53A55" w:rsidP="007B7690">
      <w:pPr>
        <w:pStyle w:val="Ttulo2"/>
        <w:rPr>
          <w:rFonts w:asciiTheme="minorHAnsi" w:hAnsiTheme="minorHAnsi" w:cstheme="minorHAnsi"/>
          <w:sz w:val="24"/>
          <w:szCs w:val="24"/>
        </w:rPr>
      </w:pPr>
      <w:r w:rsidRPr="0073078D">
        <w:rPr>
          <w:rFonts w:asciiTheme="minorHAnsi" w:hAnsiTheme="minorHAnsi" w:cstheme="minorHAnsi"/>
          <w:sz w:val="24"/>
          <w:szCs w:val="24"/>
        </w:rPr>
        <w:lastRenderedPageBreak/>
        <w:t>Public C</w:t>
      </w:r>
      <w:r w:rsidR="007B7690" w:rsidRPr="0073078D">
        <w:rPr>
          <w:rFonts w:asciiTheme="minorHAnsi" w:hAnsiTheme="minorHAnsi" w:cstheme="minorHAnsi"/>
          <w:sz w:val="24"/>
          <w:szCs w:val="24"/>
        </w:rPr>
        <w:t>ontracts</w:t>
      </w:r>
    </w:p>
    <w:p w14:paraId="1AB06857" w14:textId="77777777" w:rsidR="00D53A55" w:rsidRPr="0073078D" w:rsidRDefault="00D53A55" w:rsidP="00D53A55">
      <w:pPr>
        <w:pStyle w:val="Sinespaciado"/>
      </w:pPr>
    </w:p>
    <w:p w14:paraId="7C9F7FE8" w14:textId="77777777" w:rsidR="007B7690" w:rsidRPr="0073078D" w:rsidRDefault="007B7690" w:rsidP="007B7690">
      <w:pPr>
        <w:rPr>
          <w:rFonts w:cstheme="minorHAnsi"/>
          <w:sz w:val="24"/>
          <w:szCs w:val="24"/>
        </w:rPr>
      </w:pPr>
      <w:r w:rsidRPr="0073078D">
        <w:rPr>
          <w:rFonts w:cstheme="minorHAnsi"/>
          <w:sz w:val="24"/>
          <w:szCs w:val="24"/>
        </w:rPr>
        <w:t>A written contract for pecuniary interest (the exchange of services</w:t>
      </w:r>
      <w:r w:rsidRPr="0073078D">
        <w:rPr>
          <w:rStyle w:val="Refdenotaalpie"/>
          <w:rFonts w:cstheme="minorHAnsi"/>
          <w:sz w:val="24"/>
          <w:szCs w:val="24"/>
        </w:rPr>
        <w:footnoteReference w:id="29"/>
      </w:r>
      <w:r w:rsidRPr="0073078D">
        <w:rPr>
          <w:rFonts w:cstheme="minorHAnsi"/>
          <w:sz w:val="24"/>
          <w:szCs w:val="24"/>
        </w:rPr>
        <w:t>) between one or more economic operators and one or more contracting authorities. The object of the contract is the execution of works, the supply of products or the provision of services.</w:t>
      </w:r>
      <w:r w:rsidRPr="0073078D">
        <w:rPr>
          <w:rStyle w:val="Refdenotaalpie"/>
          <w:rFonts w:cstheme="minorHAnsi"/>
          <w:sz w:val="24"/>
          <w:szCs w:val="24"/>
        </w:rPr>
        <w:footnoteReference w:id="30"/>
      </w:r>
    </w:p>
    <w:p w14:paraId="0DFAF13A" w14:textId="1EAE757A" w:rsidR="007B7690" w:rsidRPr="0073078D" w:rsidRDefault="007B7690" w:rsidP="007B7690">
      <w:pPr>
        <w:pStyle w:val="Prrafodelista"/>
        <w:numPr>
          <w:ilvl w:val="0"/>
          <w:numId w:val="8"/>
        </w:numPr>
        <w:rPr>
          <w:rFonts w:cstheme="minorHAnsi"/>
          <w:sz w:val="24"/>
          <w:szCs w:val="24"/>
        </w:rPr>
      </w:pPr>
      <w:r w:rsidRPr="0073078D">
        <w:rPr>
          <w:rFonts w:cstheme="minorHAnsi"/>
          <w:sz w:val="24"/>
          <w:szCs w:val="24"/>
        </w:rPr>
        <w:t>Works contracts - either solely the execution, or both the design and execution of works e.g.</w:t>
      </w:r>
      <w:r w:rsidR="00E82EE8">
        <w:rPr>
          <w:rFonts w:cstheme="minorHAnsi"/>
          <w:sz w:val="24"/>
          <w:szCs w:val="24"/>
        </w:rPr>
        <w:t xml:space="preserve"> building or civil engineering.</w:t>
      </w:r>
    </w:p>
    <w:p w14:paraId="6F0500FB" w14:textId="77777777" w:rsidR="007B7690" w:rsidRPr="0073078D" w:rsidRDefault="007B7690" w:rsidP="007B7690">
      <w:pPr>
        <w:pStyle w:val="Prrafodelista"/>
        <w:numPr>
          <w:ilvl w:val="0"/>
          <w:numId w:val="8"/>
        </w:numPr>
        <w:rPr>
          <w:rFonts w:cstheme="minorHAnsi"/>
          <w:sz w:val="24"/>
          <w:szCs w:val="24"/>
        </w:rPr>
      </w:pPr>
      <w:r w:rsidRPr="0073078D">
        <w:rPr>
          <w:rFonts w:cstheme="minorHAnsi"/>
          <w:sz w:val="24"/>
          <w:szCs w:val="24"/>
        </w:rPr>
        <w:t>Supply contracts - the purchase, lease, rental or hire purchase of products e.g.  computers.</w:t>
      </w:r>
    </w:p>
    <w:p w14:paraId="2E037EE4" w14:textId="77777777" w:rsidR="007B7690" w:rsidRPr="0073078D" w:rsidRDefault="007B7690" w:rsidP="007B7690">
      <w:pPr>
        <w:pStyle w:val="Prrafodelista"/>
        <w:numPr>
          <w:ilvl w:val="0"/>
          <w:numId w:val="8"/>
        </w:numPr>
        <w:rPr>
          <w:rFonts w:cstheme="minorHAnsi"/>
          <w:sz w:val="24"/>
          <w:szCs w:val="24"/>
        </w:rPr>
      </w:pPr>
      <w:r w:rsidRPr="0073078D">
        <w:rPr>
          <w:rFonts w:cstheme="minorHAnsi"/>
          <w:sz w:val="24"/>
          <w:szCs w:val="24"/>
        </w:rPr>
        <w:t>Service contracts - the provision of services e.g. consultancy.</w:t>
      </w:r>
      <w:r w:rsidRPr="0073078D">
        <w:rPr>
          <w:rStyle w:val="Refdenotaalpie"/>
          <w:rFonts w:cstheme="minorHAnsi"/>
          <w:sz w:val="24"/>
          <w:szCs w:val="24"/>
        </w:rPr>
        <w:footnoteReference w:id="31"/>
      </w:r>
    </w:p>
    <w:p w14:paraId="5727C545" w14:textId="77777777" w:rsidR="00435803" w:rsidRPr="0073078D" w:rsidRDefault="00435803" w:rsidP="007B7690">
      <w:pPr>
        <w:pStyle w:val="Ttulo2"/>
        <w:rPr>
          <w:rFonts w:asciiTheme="minorHAnsi" w:hAnsiTheme="minorHAnsi" w:cstheme="minorHAnsi"/>
          <w:sz w:val="24"/>
          <w:szCs w:val="24"/>
        </w:rPr>
      </w:pPr>
    </w:p>
    <w:p w14:paraId="0C506D3A" w14:textId="77777777" w:rsidR="008A02CC" w:rsidRPr="0073078D" w:rsidRDefault="008A02CC" w:rsidP="008A02CC">
      <w:pPr>
        <w:pStyle w:val="Ttulo2"/>
      </w:pPr>
      <w:r w:rsidRPr="0073078D">
        <w:t>Restricted Procedure</w:t>
      </w:r>
    </w:p>
    <w:p w14:paraId="047B03EB" w14:textId="77777777" w:rsidR="008A02CC" w:rsidRPr="0073078D" w:rsidRDefault="008A02CC" w:rsidP="008A02CC">
      <w:pPr>
        <w:pStyle w:val="Sinespaciado"/>
        <w:rPr>
          <w:rFonts w:cstheme="minorHAnsi"/>
          <w:sz w:val="24"/>
          <w:szCs w:val="24"/>
        </w:rPr>
      </w:pPr>
    </w:p>
    <w:p w14:paraId="7E520A89" w14:textId="77777777" w:rsidR="008A02CC" w:rsidRPr="0073078D" w:rsidRDefault="008A02CC" w:rsidP="008A02CC">
      <w:pPr>
        <w:jc w:val="both"/>
        <w:rPr>
          <w:rFonts w:cstheme="minorHAnsi"/>
          <w:sz w:val="24"/>
          <w:szCs w:val="24"/>
        </w:rPr>
      </w:pPr>
      <w:r w:rsidRPr="0073078D">
        <w:rPr>
          <w:rFonts w:cstheme="minorHAnsi"/>
          <w:sz w:val="24"/>
          <w:szCs w:val="24"/>
        </w:rPr>
        <w:t xml:space="preserve">The restricted procedure is a two-stage process where a selection is made of those who respond to the </w:t>
      </w:r>
      <w:r>
        <w:rPr>
          <w:rFonts w:cstheme="minorHAnsi"/>
          <w:sz w:val="24"/>
          <w:szCs w:val="24"/>
        </w:rPr>
        <w:t xml:space="preserve">call for tender </w:t>
      </w:r>
      <w:r w:rsidRPr="0073078D">
        <w:rPr>
          <w:rFonts w:cstheme="minorHAnsi"/>
          <w:sz w:val="24"/>
          <w:szCs w:val="24"/>
        </w:rPr>
        <w:t>and only pre-selected tenderers may submit tenders.</w:t>
      </w:r>
      <w:r w:rsidRPr="0073078D">
        <w:rPr>
          <w:rStyle w:val="Refdenotaalpie"/>
          <w:rFonts w:cstheme="minorHAnsi"/>
          <w:sz w:val="24"/>
          <w:szCs w:val="24"/>
        </w:rPr>
        <w:footnoteReference w:id="32"/>
      </w:r>
    </w:p>
    <w:p w14:paraId="2C6B2481" w14:textId="77777777" w:rsidR="008A02CC" w:rsidRPr="0073078D" w:rsidRDefault="008A02CC" w:rsidP="008A02CC">
      <w:pPr>
        <w:pStyle w:val="Prrafodelista"/>
        <w:numPr>
          <w:ilvl w:val="0"/>
          <w:numId w:val="1"/>
        </w:numPr>
        <w:jc w:val="both"/>
        <w:rPr>
          <w:rFonts w:cstheme="minorHAnsi"/>
          <w:sz w:val="24"/>
          <w:szCs w:val="24"/>
        </w:rPr>
      </w:pPr>
      <w:r w:rsidRPr="0073078D">
        <w:rPr>
          <w:rFonts w:cstheme="minorHAnsi"/>
          <w:sz w:val="24"/>
          <w:szCs w:val="24"/>
        </w:rPr>
        <w:t>Prequalification - a contract notice is published inviting potential tenderers to present expressions of interest. Any economic operator may submit a request to participate in response to a call for competition by providing the information for qualitative selection that is requested by the contracting authority.</w:t>
      </w:r>
      <w:r w:rsidRPr="0073078D">
        <w:rPr>
          <w:rStyle w:val="Refdenotaalpie"/>
          <w:rFonts w:cstheme="minorHAnsi"/>
          <w:sz w:val="24"/>
          <w:szCs w:val="24"/>
        </w:rPr>
        <w:footnoteReference w:id="33"/>
      </w:r>
      <w:r w:rsidRPr="0073078D">
        <w:rPr>
          <w:rFonts w:cstheme="minorHAnsi"/>
          <w:sz w:val="24"/>
          <w:szCs w:val="24"/>
        </w:rPr>
        <w:t xml:space="preserve"> The contract notice may indicate the relevant information to be submitted via a detailed European single procurement document.</w:t>
      </w:r>
    </w:p>
    <w:p w14:paraId="256430B9" w14:textId="77777777" w:rsidR="008A02CC" w:rsidRPr="0073078D" w:rsidRDefault="008A02CC" w:rsidP="008A02CC">
      <w:pPr>
        <w:pStyle w:val="Prrafodelista"/>
        <w:jc w:val="both"/>
        <w:rPr>
          <w:rFonts w:cstheme="minorHAnsi"/>
          <w:sz w:val="24"/>
          <w:szCs w:val="24"/>
        </w:rPr>
      </w:pPr>
    </w:p>
    <w:p w14:paraId="1FD60AB1" w14:textId="2A25CB8F" w:rsidR="00376F92" w:rsidRPr="00376F92" w:rsidRDefault="008A02CC" w:rsidP="008A02CC">
      <w:pPr>
        <w:pStyle w:val="Prrafodelista"/>
        <w:numPr>
          <w:ilvl w:val="0"/>
          <w:numId w:val="1"/>
        </w:numPr>
        <w:rPr>
          <w:rFonts w:cstheme="minorHAnsi"/>
          <w:sz w:val="24"/>
          <w:szCs w:val="24"/>
        </w:rPr>
      </w:pPr>
      <w:r w:rsidRPr="0073078D">
        <w:rPr>
          <w:rFonts w:cstheme="minorHAnsi"/>
          <w:sz w:val="24"/>
          <w:szCs w:val="24"/>
        </w:rPr>
        <w:t>Selection and Evaluation – those who submitted an expression of interest are then evaluated and the invitation to tender is issued to at least five pre-selected tenderers.</w:t>
      </w:r>
      <w:r w:rsidRPr="0073078D">
        <w:rPr>
          <w:rStyle w:val="Refdenotaalpie"/>
          <w:rFonts w:cstheme="minorHAnsi"/>
          <w:sz w:val="24"/>
          <w:szCs w:val="24"/>
        </w:rPr>
        <w:footnoteReference w:id="34"/>
      </w:r>
    </w:p>
    <w:p w14:paraId="416BE56C" w14:textId="4D4F9899" w:rsidR="00FA07CB" w:rsidRDefault="00FA07CB" w:rsidP="008A02CC"/>
    <w:p w14:paraId="019DFC34" w14:textId="24E10978" w:rsidR="00376F92" w:rsidRDefault="00376F92" w:rsidP="008A02CC"/>
    <w:p w14:paraId="68350B5F" w14:textId="56022B7E" w:rsidR="00376F92" w:rsidRDefault="00376F92" w:rsidP="008A02CC"/>
    <w:p w14:paraId="2C4B5931" w14:textId="77777777" w:rsidR="00376F92" w:rsidRDefault="00376F92" w:rsidP="008A02CC"/>
    <w:p w14:paraId="2BC7DD1B" w14:textId="48BDB4E9" w:rsidR="007B7690" w:rsidRPr="0073078D" w:rsidRDefault="007B7690" w:rsidP="007B7690">
      <w:pPr>
        <w:pStyle w:val="Ttulo2"/>
        <w:rPr>
          <w:rFonts w:asciiTheme="minorHAnsi" w:hAnsiTheme="minorHAnsi" w:cstheme="minorHAnsi"/>
          <w:sz w:val="24"/>
          <w:szCs w:val="24"/>
        </w:rPr>
      </w:pPr>
      <w:r w:rsidRPr="0073078D">
        <w:rPr>
          <w:rFonts w:asciiTheme="minorHAnsi" w:hAnsiTheme="minorHAnsi" w:cstheme="minorHAnsi"/>
          <w:sz w:val="24"/>
          <w:szCs w:val="24"/>
        </w:rPr>
        <w:lastRenderedPageBreak/>
        <w:t>TED</w:t>
      </w:r>
    </w:p>
    <w:p w14:paraId="2D7A2402" w14:textId="77777777" w:rsidR="005F00D5" w:rsidRPr="0073078D" w:rsidRDefault="005F00D5" w:rsidP="005F00D5">
      <w:pPr>
        <w:pStyle w:val="Sinespaciado"/>
      </w:pPr>
    </w:p>
    <w:p w14:paraId="41C43A57" w14:textId="77777777" w:rsidR="007B7690" w:rsidRPr="0073078D" w:rsidRDefault="007B7690" w:rsidP="007B7690">
      <w:pPr>
        <w:jc w:val="both"/>
        <w:rPr>
          <w:rFonts w:cstheme="minorHAnsi"/>
          <w:sz w:val="24"/>
          <w:szCs w:val="24"/>
        </w:rPr>
      </w:pPr>
      <w:r w:rsidRPr="0073078D">
        <w:rPr>
          <w:rFonts w:cstheme="minorHAnsi"/>
          <w:sz w:val="24"/>
          <w:szCs w:val="24"/>
        </w:rPr>
        <w:t>TED stands for “Tenders Electronic Daily</w:t>
      </w:r>
      <w:r w:rsidRPr="0073078D">
        <w:rPr>
          <w:rFonts w:cstheme="minorHAnsi"/>
          <w:i/>
          <w:sz w:val="24"/>
          <w:szCs w:val="24"/>
        </w:rPr>
        <w:t>”</w:t>
      </w:r>
      <w:r w:rsidRPr="0073078D">
        <w:rPr>
          <w:rFonts w:cstheme="minorHAnsi"/>
          <w:sz w:val="24"/>
          <w:szCs w:val="24"/>
        </w:rPr>
        <w:t>.</w:t>
      </w:r>
      <w:r w:rsidRPr="0073078D">
        <w:rPr>
          <w:rFonts w:cstheme="minorHAnsi"/>
          <w:i/>
          <w:sz w:val="24"/>
          <w:szCs w:val="24"/>
        </w:rPr>
        <w:t xml:space="preserve"> </w:t>
      </w:r>
      <w:r w:rsidRPr="00194FB5">
        <w:rPr>
          <w:rFonts w:cstheme="minorHAnsi"/>
          <w:sz w:val="24"/>
          <w:szCs w:val="24"/>
        </w:rPr>
        <w:t>It is the online version of the 'Supplement to the Official Journal' of the EU, dedicated to European public procurement.</w:t>
      </w:r>
      <w:r w:rsidRPr="0073078D">
        <w:rPr>
          <w:rFonts w:cstheme="minorHAnsi"/>
          <w:sz w:val="24"/>
          <w:szCs w:val="24"/>
        </w:rPr>
        <w:t xml:space="preserve"> In this platform 520 thousand procurement notices are published a year, including 210 thousand calls for tenders which are worth approximately €420 billion.</w:t>
      </w:r>
      <w:r w:rsidRPr="0073078D">
        <w:rPr>
          <w:rStyle w:val="Refdenotaalpie"/>
          <w:rFonts w:cstheme="minorHAnsi"/>
          <w:sz w:val="24"/>
          <w:szCs w:val="24"/>
        </w:rPr>
        <w:footnoteReference w:id="35"/>
      </w:r>
    </w:p>
    <w:p w14:paraId="1FFEFEBD" w14:textId="77777777" w:rsidR="000D0AA7" w:rsidRPr="0073078D" w:rsidRDefault="000D0AA7" w:rsidP="007B7690">
      <w:pPr>
        <w:jc w:val="both"/>
        <w:rPr>
          <w:rFonts w:cstheme="minorHAnsi"/>
          <w:sz w:val="24"/>
          <w:szCs w:val="24"/>
        </w:rPr>
      </w:pPr>
      <w:r w:rsidRPr="0073078D">
        <w:rPr>
          <w:rFonts w:cstheme="minorHAnsi"/>
          <w:sz w:val="24"/>
          <w:szCs w:val="24"/>
        </w:rPr>
        <w:t>The Public Procurement Directives have made it compulsory for contracting authorities to publish all notices for those contracts above the EU threshold in this platform, in order to ensure fair competition and the correct functioning of the single market.</w:t>
      </w:r>
    </w:p>
    <w:p w14:paraId="147F580D" w14:textId="77777777" w:rsidR="007B7690" w:rsidRPr="0073078D" w:rsidRDefault="007B7690" w:rsidP="007B7690">
      <w:pPr>
        <w:jc w:val="both"/>
        <w:rPr>
          <w:rFonts w:cstheme="minorHAnsi"/>
          <w:sz w:val="24"/>
          <w:szCs w:val="24"/>
        </w:rPr>
      </w:pPr>
    </w:p>
    <w:p w14:paraId="7461B7D2" w14:textId="77777777" w:rsidR="007B7690" w:rsidRPr="0073078D" w:rsidRDefault="007B7690" w:rsidP="007B7690">
      <w:pPr>
        <w:pStyle w:val="Ttulo2"/>
        <w:rPr>
          <w:rFonts w:asciiTheme="minorHAnsi" w:hAnsiTheme="minorHAnsi" w:cstheme="minorHAnsi"/>
          <w:sz w:val="24"/>
          <w:szCs w:val="24"/>
        </w:rPr>
      </w:pPr>
      <w:r w:rsidRPr="0073078D">
        <w:rPr>
          <w:rFonts w:asciiTheme="minorHAnsi" w:hAnsiTheme="minorHAnsi" w:cstheme="minorHAnsi"/>
          <w:sz w:val="24"/>
          <w:szCs w:val="24"/>
        </w:rPr>
        <w:t>Tenderer</w:t>
      </w:r>
    </w:p>
    <w:p w14:paraId="63D5EFF8" w14:textId="77777777" w:rsidR="005F00D5" w:rsidRPr="0073078D" w:rsidRDefault="005F00D5" w:rsidP="005F00D5">
      <w:pPr>
        <w:pStyle w:val="Sinespaciado"/>
      </w:pPr>
    </w:p>
    <w:p w14:paraId="2163E087" w14:textId="77777777" w:rsidR="007B7690" w:rsidRPr="0073078D" w:rsidRDefault="00F1054C" w:rsidP="007B7690">
      <w:pPr>
        <w:rPr>
          <w:rFonts w:cstheme="minorHAnsi"/>
          <w:sz w:val="24"/>
          <w:szCs w:val="24"/>
        </w:rPr>
      </w:pPr>
      <w:r w:rsidRPr="0073078D">
        <w:rPr>
          <w:rFonts w:cstheme="minorHAnsi"/>
          <w:sz w:val="24"/>
          <w:szCs w:val="24"/>
        </w:rPr>
        <w:t>A</w:t>
      </w:r>
      <w:r w:rsidR="007B7690" w:rsidRPr="0073078D">
        <w:rPr>
          <w:rFonts w:cstheme="minorHAnsi"/>
          <w:sz w:val="24"/>
          <w:szCs w:val="24"/>
        </w:rPr>
        <w:t>n economic operator that has submitted a tender</w:t>
      </w:r>
      <w:r w:rsidR="00BB3E36" w:rsidRPr="0073078D">
        <w:rPr>
          <w:rFonts w:cstheme="minorHAnsi"/>
          <w:sz w:val="24"/>
          <w:szCs w:val="24"/>
        </w:rPr>
        <w:t>.</w:t>
      </w:r>
    </w:p>
    <w:p w14:paraId="0FA94FF2" w14:textId="77777777" w:rsidR="007B7690" w:rsidRPr="0073078D" w:rsidRDefault="007B7690">
      <w:pPr>
        <w:rPr>
          <w:rFonts w:cstheme="minorHAnsi"/>
          <w:sz w:val="24"/>
          <w:szCs w:val="24"/>
        </w:rPr>
      </w:pPr>
    </w:p>
    <w:p w14:paraId="6D6CB387" w14:textId="77777777" w:rsidR="007B7690" w:rsidRPr="0073078D" w:rsidRDefault="007B7690" w:rsidP="007B7690">
      <w:pPr>
        <w:pStyle w:val="Ttulo2"/>
        <w:rPr>
          <w:rFonts w:asciiTheme="minorHAnsi" w:hAnsiTheme="minorHAnsi" w:cstheme="minorHAnsi"/>
          <w:sz w:val="24"/>
          <w:szCs w:val="24"/>
        </w:rPr>
      </w:pPr>
      <w:r w:rsidRPr="0073078D">
        <w:rPr>
          <w:rFonts w:asciiTheme="minorHAnsi" w:hAnsiTheme="minorHAnsi" w:cstheme="minorHAnsi"/>
          <w:sz w:val="24"/>
          <w:szCs w:val="24"/>
        </w:rPr>
        <w:t>Tendering</w:t>
      </w:r>
    </w:p>
    <w:p w14:paraId="7E304038" w14:textId="77777777" w:rsidR="005F00D5" w:rsidRPr="0073078D" w:rsidRDefault="005F00D5" w:rsidP="005F00D5">
      <w:pPr>
        <w:pStyle w:val="Sinespaciado"/>
      </w:pPr>
    </w:p>
    <w:p w14:paraId="1C1CA00E" w14:textId="77777777" w:rsidR="007B7690" w:rsidRPr="0073078D" w:rsidRDefault="007B7690" w:rsidP="007B7690">
      <w:pPr>
        <w:rPr>
          <w:rFonts w:cstheme="minorHAnsi"/>
          <w:color w:val="111111"/>
          <w:sz w:val="24"/>
          <w:szCs w:val="24"/>
          <w:shd w:val="clear" w:color="auto" w:fill="FFFFFF"/>
        </w:rPr>
      </w:pPr>
      <w:r w:rsidRPr="0073078D">
        <w:rPr>
          <w:rFonts w:cstheme="minorHAnsi"/>
          <w:color w:val="111111"/>
          <w:sz w:val="24"/>
          <w:szCs w:val="24"/>
          <w:shd w:val="clear" w:color="auto" w:fill="FFFFFF"/>
        </w:rPr>
        <w:t>To tender is to </w:t>
      </w:r>
      <w:r w:rsidRPr="0073078D">
        <w:rPr>
          <w:rFonts w:cstheme="minorHAnsi"/>
          <w:sz w:val="24"/>
          <w:szCs w:val="24"/>
          <w:shd w:val="clear" w:color="auto" w:fill="FFFFFF"/>
        </w:rPr>
        <w:t>invite bids</w:t>
      </w:r>
      <w:r w:rsidRPr="0073078D">
        <w:rPr>
          <w:rFonts w:cstheme="minorHAnsi"/>
          <w:color w:val="111111"/>
          <w:sz w:val="24"/>
          <w:szCs w:val="24"/>
          <w:shd w:val="clear" w:color="auto" w:fill="FFFFFF"/>
        </w:rPr>
        <w:t> for a project or accept a formal offer</w:t>
      </w:r>
      <w:r w:rsidR="00BB3E36" w:rsidRPr="0073078D">
        <w:rPr>
          <w:rFonts w:cstheme="minorHAnsi"/>
          <w:color w:val="111111"/>
          <w:sz w:val="24"/>
          <w:szCs w:val="24"/>
          <w:shd w:val="clear" w:color="auto" w:fill="FFFFFF"/>
        </w:rPr>
        <w:t>.</w:t>
      </w:r>
      <w:r w:rsidRPr="0073078D">
        <w:rPr>
          <w:rFonts w:cstheme="minorHAnsi"/>
          <w:color w:val="111111"/>
          <w:sz w:val="24"/>
          <w:szCs w:val="24"/>
          <w:shd w:val="clear" w:color="auto" w:fill="FFFFFF"/>
        </w:rPr>
        <w:t> </w:t>
      </w:r>
      <w:r w:rsidRPr="0073078D">
        <w:rPr>
          <w:rStyle w:val="Refdenotaalpie"/>
          <w:rFonts w:cstheme="minorHAnsi"/>
          <w:color w:val="111111"/>
          <w:sz w:val="24"/>
          <w:szCs w:val="24"/>
          <w:shd w:val="clear" w:color="auto" w:fill="FFFFFF"/>
        </w:rPr>
        <w:footnoteReference w:id="36"/>
      </w:r>
    </w:p>
    <w:p w14:paraId="1134E85E" w14:textId="77777777" w:rsidR="007B7690" w:rsidRPr="0073078D" w:rsidRDefault="007B7690">
      <w:pPr>
        <w:rPr>
          <w:rFonts w:cstheme="minorHAnsi"/>
          <w:sz w:val="24"/>
          <w:szCs w:val="24"/>
        </w:rPr>
      </w:pPr>
    </w:p>
    <w:sectPr w:rsidR="007B7690" w:rsidRPr="00730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88C3" w14:textId="77777777" w:rsidR="00212631" w:rsidRDefault="00212631" w:rsidP="007B7690">
      <w:pPr>
        <w:spacing w:after="0" w:line="240" w:lineRule="auto"/>
      </w:pPr>
      <w:r>
        <w:separator/>
      </w:r>
    </w:p>
  </w:endnote>
  <w:endnote w:type="continuationSeparator" w:id="0">
    <w:p w14:paraId="4CCD4CAA" w14:textId="77777777" w:rsidR="00212631" w:rsidRDefault="00212631" w:rsidP="007B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DF1FD" w14:textId="77777777" w:rsidR="00212631" w:rsidRDefault="00212631" w:rsidP="007B7690">
      <w:pPr>
        <w:spacing w:after="0" w:line="240" w:lineRule="auto"/>
      </w:pPr>
      <w:r>
        <w:separator/>
      </w:r>
    </w:p>
  </w:footnote>
  <w:footnote w:type="continuationSeparator" w:id="0">
    <w:p w14:paraId="1248A05F" w14:textId="77777777" w:rsidR="00212631" w:rsidRDefault="00212631" w:rsidP="007B7690">
      <w:pPr>
        <w:spacing w:after="0" w:line="240" w:lineRule="auto"/>
      </w:pPr>
      <w:r>
        <w:continuationSeparator/>
      </w:r>
    </w:p>
  </w:footnote>
  <w:footnote w:id="1">
    <w:p w14:paraId="739A8E43" w14:textId="77777777" w:rsidR="007B7690" w:rsidRPr="000E14F1" w:rsidRDefault="007B7690" w:rsidP="007B7690">
      <w:pPr>
        <w:pStyle w:val="Textonotapie"/>
        <w:rPr>
          <w:lang w:val="en-US"/>
        </w:rPr>
      </w:pPr>
      <w:r>
        <w:rPr>
          <w:rStyle w:val="Refdenotaalpie"/>
        </w:rPr>
        <w:footnoteRef/>
      </w:r>
      <w:r>
        <w:t xml:space="preserve"> SIGMA, “Abnormally Low Tenders” [ September </w:t>
      </w:r>
      <w:proofErr w:type="gramStart"/>
      <w:r>
        <w:t>2016 ]</w:t>
      </w:r>
      <w:proofErr w:type="gramEnd"/>
      <w:r>
        <w:t xml:space="preserve"> </w:t>
      </w:r>
    </w:p>
  </w:footnote>
  <w:footnote w:id="2">
    <w:p w14:paraId="6ABEA386" w14:textId="77777777" w:rsidR="006B3F7D" w:rsidRPr="007D17B9" w:rsidRDefault="006B3F7D" w:rsidP="006B3F7D">
      <w:pPr>
        <w:pStyle w:val="Textonotapie"/>
      </w:pPr>
      <w:r>
        <w:rPr>
          <w:rStyle w:val="Refdenotaalpie"/>
        </w:rPr>
        <w:footnoteRef/>
      </w:r>
      <w:r>
        <w:t xml:space="preserve"> European Commission, “Public Procurement Guidance for Practitioners” [ February </w:t>
      </w:r>
      <w:proofErr w:type="gramStart"/>
      <w:r>
        <w:t>2018 ]</w:t>
      </w:r>
      <w:proofErr w:type="gramEnd"/>
    </w:p>
  </w:footnote>
  <w:footnote w:id="3">
    <w:p w14:paraId="0B509E4C" w14:textId="77777777" w:rsidR="007B7690" w:rsidRPr="003228EB" w:rsidRDefault="007B7690" w:rsidP="007B7690">
      <w:pPr>
        <w:pStyle w:val="Textonotapie"/>
        <w:rPr>
          <w:lang w:val="en-US"/>
        </w:rPr>
      </w:pPr>
      <w:r>
        <w:rPr>
          <w:rStyle w:val="Refdenotaalpie"/>
        </w:rPr>
        <w:footnoteRef/>
      </w:r>
      <w:r>
        <w:t xml:space="preserve"> CJEU, Cases 76/81 Transporoute, C-103/88 Fratelli Costanzo, C-599/10 SAG ELV Slovensko and Others.</w:t>
      </w:r>
    </w:p>
  </w:footnote>
  <w:footnote w:id="4">
    <w:p w14:paraId="2ED58A20" w14:textId="77777777" w:rsidR="007B7690" w:rsidRPr="003D3F5C" w:rsidRDefault="007B7690" w:rsidP="007B7690">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5">
    <w:p w14:paraId="5120B029" w14:textId="77777777" w:rsidR="007B7690" w:rsidRPr="00B0096D" w:rsidRDefault="007B7690" w:rsidP="007B7690">
      <w:pPr>
        <w:pStyle w:val="Textonotapie"/>
        <w:rPr>
          <w:lang w:val="en-US"/>
        </w:rPr>
      </w:pPr>
      <w:r>
        <w:rPr>
          <w:rStyle w:val="Refdenotaalpie"/>
        </w:rPr>
        <w:footnoteRef/>
      </w:r>
      <w:r>
        <w:t xml:space="preserve"> Will Kenton, “Crime &amp; Fraud”</w:t>
      </w:r>
      <w:r w:rsidRPr="00406ECD">
        <w:t xml:space="preserve"> </w:t>
      </w:r>
      <w:r>
        <w:t xml:space="preserve">[ Investopedia, 23 March </w:t>
      </w:r>
      <w:proofErr w:type="gramStart"/>
      <w:r>
        <w:t>2018 ]</w:t>
      </w:r>
      <w:proofErr w:type="gramEnd"/>
      <w:r w:rsidRPr="00406ECD">
        <w:t xml:space="preserve"> &lt;https://www.investopedia.com/terms/b/bid-rigging.asp&gt; accessed 29 August 2019</w:t>
      </w:r>
    </w:p>
  </w:footnote>
  <w:footnote w:id="6">
    <w:p w14:paraId="6E12FA1F" w14:textId="77777777" w:rsidR="007B7690" w:rsidRPr="006042D5" w:rsidRDefault="007B7690" w:rsidP="007B7690">
      <w:pPr>
        <w:pStyle w:val="Sinespaciado"/>
      </w:pPr>
      <w:r>
        <w:rPr>
          <w:rStyle w:val="Refdenotaalpie"/>
        </w:rPr>
        <w:footnoteRef/>
      </w:r>
      <w:r>
        <w:t xml:space="preserve"> </w:t>
      </w:r>
      <w:r w:rsidRPr="006042D5">
        <w:rPr>
          <w:sz w:val="20"/>
          <w:szCs w:val="20"/>
        </w:rPr>
        <w:t>Directive 2014/24/EU of the European Parliament and of the Council of 26 February 2014 on public procurement and repealing Directive 2004/18/EC Art 2</w:t>
      </w:r>
      <w:r w:rsidRPr="006042D5">
        <w:rPr>
          <w:sz w:val="20"/>
          <w:szCs w:val="20"/>
          <w:lang w:val="en-US"/>
        </w:rPr>
        <w:t xml:space="preserve"> </w:t>
      </w:r>
    </w:p>
  </w:footnote>
  <w:footnote w:id="7">
    <w:p w14:paraId="3933278B" w14:textId="77777777" w:rsidR="008A02CC" w:rsidRPr="004972C7" w:rsidRDefault="008A02CC" w:rsidP="008A02CC">
      <w:pPr>
        <w:pStyle w:val="Textonotapie"/>
      </w:pPr>
      <w:r>
        <w:rPr>
          <w:rStyle w:val="Refdenotaalpie"/>
        </w:rPr>
        <w:footnoteRef/>
      </w:r>
      <w:r>
        <w:t xml:space="preserve"> Crown Commercial Service, “A Brief Guide to the 2014 EU</w:t>
      </w:r>
      <w:r w:rsidRPr="0034307F">
        <w:t xml:space="preserve"> Public Procurement Directives</w:t>
      </w:r>
      <w:r>
        <w:t xml:space="preserve">” [ October </w:t>
      </w:r>
      <w:proofErr w:type="gramStart"/>
      <w:r>
        <w:t>2016 ]</w:t>
      </w:r>
      <w:proofErr w:type="gramEnd"/>
    </w:p>
  </w:footnote>
  <w:footnote w:id="8">
    <w:p w14:paraId="7A80E326" w14:textId="77777777" w:rsidR="008A02CC" w:rsidRPr="00B20082" w:rsidRDefault="008A02CC" w:rsidP="008A02CC">
      <w:pPr>
        <w:pStyle w:val="Textonotapie"/>
        <w:rPr>
          <w:lang w:val="en-US"/>
        </w:rPr>
      </w:pPr>
      <w:r>
        <w:rPr>
          <w:rStyle w:val="Refdenotaalpie"/>
        </w:rPr>
        <w:footnoteRef/>
      </w:r>
      <w:r>
        <w:t xml:space="preserve"> </w:t>
      </w:r>
      <w:r w:rsidRPr="006042D5">
        <w:t xml:space="preserve">Directive 2014/24/EU of the European Parliament and of the Council of 26 February 2014 on public procurement and repealing Directive 2004/18/EC Art </w:t>
      </w:r>
      <w:r>
        <w:t>30</w:t>
      </w:r>
    </w:p>
  </w:footnote>
  <w:footnote w:id="9">
    <w:p w14:paraId="3D9718F9" w14:textId="77777777" w:rsidR="008A02CC" w:rsidRPr="003E2CD5" w:rsidRDefault="008A02CC" w:rsidP="008A02CC">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10">
    <w:p w14:paraId="68A5DF26" w14:textId="77777777" w:rsidR="008A02CC" w:rsidRPr="004972C7" w:rsidRDefault="008A02CC" w:rsidP="008A02CC">
      <w:pPr>
        <w:pStyle w:val="Textonotapie"/>
      </w:pPr>
      <w:r>
        <w:rPr>
          <w:rStyle w:val="Refdenotaalpie"/>
        </w:rPr>
        <w:footnoteRef/>
      </w:r>
      <w:r>
        <w:t xml:space="preserve"> Crown Commercial Service, “A Brief Guide to the 2014 EU</w:t>
      </w:r>
      <w:r w:rsidRPr="0034307F">
        <w:t xml:space="preserve"> Public Procurement Directives</w:t>
      </w:r>
      <w:r>
        <w:t xml:space="preserve">” [ October </w:t>
      </w:r>
      <w:proofErr w:type="gramStart"/>
      <w:r>
        <w:t>2016 ]</w:t>
      </w:r>
      <w:proofErr w:type="gramEnd"/>
      <w:r w:rsidRPr="004972C7">
        <w:t xml:space="preserve"> </w:t>
      </w:r>
    </w:p>
  </w:footnote>
  <w:footnote w:id="11">
    <w:p w14:paraId="3E6E94B7" w14:textId="77777777" w:rsidR="008A02CC" w:rsidRPr="00B20082" w:rsidRDefault="008A02CC" w:rsidP="008A02CC">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r>
        <w:t>9</w:t>
      </w:r>
    </w:p>
  </w:footnote>
  <w:footnote w:id="12">
    <w:p w14:paraId="334BF724" w14:textId="77777777" w:rsidR="008A02CC" w:rsidRPr="009421B2" w:rsidRDefault="008A02CC" w:rsidP="008A02CC">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13">
    <w:p w14:paraId="1514429F" w14:textId="77777777" w:rsidR="00110683" w:rsidRPr="0071698C" w:rsidRDefault="00110683" w:rsidP="00110683">
      <w:pPr>
        <w:pStyle w:val="Textonotapie"/>
        <w:rPr>
          <w:lang w:val="en-US"/>
        </w:rPr>
      </w:pPr>
      <w:r>
        <w:rPr>
          <w:rStyle w:val="Refdenotaalpie"/>
        </w:rPr>
        <w:footnoteRef/>
      </w:r>
      <w:r>
        <w:t xml:space="preserve"> </w:t>
      </w:r>
      <w:r w:rsidRPr="009B0DCC">
        <w:t xml:space="preserve">European </w:t>
      </w:r>
      <w:proofErr w:type="gramStart"/>
      <w:r w:rsidRPr="009B0DCC">
        <w:t>commission ,</w:t>
      </w:r>
      <w:proofErr w:type="gramEnd"/>
      <w:r w:rsidRPr="009B0DCC">
        <w:t xml:space="preserve"> 'Concession contracts - partnerships between the public</w:t>
      </w:r>
      <w:r>
        <w:t xml:space="preserve"> sector and a private company'   [ </w:t>
      </w:r>
      <w:r w:rsidRPr="009B0DCC">
        <w:t>Internal Market, Industry, Entrepreneurship and SMEs - E</w:t>
      </w:r>
      <w:r>
        <w:t>uropean Commission ]</w:t>
      </w:r>
      <w:r w:rsidRPr="009B0DCC">
        <w:t xml:space="preserve"> &lt;https://ec.europa.eu/growth/single-market/public-procurement/rules-implementation/concessions_en&gt; accessed 29 August 2019</w:t>
      </w:r>
    </w:p>
  </w:footnote>
  <w:footnote w:id="14">
    <w:p w14:paraId="427064B6" w14:textId="0E60A4A1" w:rsidR="00110683" w:rsidRPr="00110683" w:rsidRDefault="00110683">
      <w:pPr>
        <w:pStyle w:val="Textonotapie"/>
      </w:pPr>
      <w:r>
        <w:rPr>
          <w:rStyle w:val="Refdenotaalpie"/>
        </w:rPr>
        <w:footnoteRef/>
      </w:r>
      <w:r>
        <w:t xml:space="preserve"> </w:t>
      </w:r>
      <w:r w:rsidRPr="009B0DCC">
        <w:t xml:space="preserve">European </w:t>
      </w:r>
      <w:proofErr w:type="gramStart"/>
      <w:r w:rsidRPr="009B0DCC">
        <w:t>commission ,</w:t>
      </w:r>
      <w:proofErr w:type="gramEnd"/>
      <w:r w:rsidRPr="009B0DCC">
        <w:t xml:space="preserve"> 'Concession contracts - partnerships between the public</w:t>
      </w:r>
      <w:r>
        <w:t xml:space="preserve"> sector and a private company'   [ </w:t>
      </w:r>
      <w:r w:rsidRPr="009B0DCC">
        <w:t>Internal Market, Industry, Entrepreneurship and SMEs - E</w:t>
      </w:r>
      <w:r>
        <w:t>uropean Commission ]</w:t>
      </w:r>
      <w:r w:rsidRPr="009B0DCC">
        <w:t xml:space="preserve"> &lt;https://ec.europa.eu/growth/single-market/public-procurement/rules-implementation/concessions_en&gt; accessed 29 August 2019</w:t>
      </w:r>
    </w:p>
  </w:footnote>
  <w:footnote w:id="15">
    <w:p w14:paraId="0105AA05" w14:textId="77777777" w:rsidR="007B7690" w:rsidRPr="0095728A" w:rsidRDefault="007B7690" w:rsidP="007B7690">
      <w:pPr>
        <w:pStyle w:val="Textonotapie"/>
      </w:pPr>
      <w:r>
        <w:rPr>
          <w:rStyle w:val="Refdenotaalpie"/>
        </w:rPr>
        <w:footnoteRef/>
      </w:r>
      <w:r>
        <w:t xml:space="preserve"> European </w:t>
      </w:r>
      <w:proofErr w:type="gramStart"/>
      <w:r>
        <w:t>commission ,</w:t>
      </w:r>
      <w:proofErr w:type="gramEnd"/>
      <w:r>
        <w:t xml:space="preserve"> “</w:t>
      </w:r>
      <w:r w:rsidRPr="009B0DCC">
        <w:t>Directive of the European Parliament and of the Council on the award of Concession Contrac</w:t>
      </w:r>
      <w:r>
        <w:t xml:space="preserve">ts – Frequently Asked Questions” [ </w:t>
      </w:r>
      <w:r w:rsidRPr="009B0DCC">
        <w:t>Press Rel</w:t>
      </w:r>
      <w:r>
        <w:t xml:space="preserve">ease Database, 15 January 2014 ] </w:t>
      </w:r>
      <w:r w:rsidRPr="009B0DCC">
        <w:t>&lt;https://europa.eu/rapid/press-release_MEMO-14-19_en.htm?locale=en&gt; accessed 29 August 2019</w:t>
      </w:r>
    </w:p>
  </w:footnote>
  <w:footnote w:id="16">
    <w:p w14:paraId="3D638E0D" w14:textId="77777777" w:rsidR="007B7690" w:rsidRPr="00293F81" w:rsidRDefault="007B7690" w:rsidP="007B7690">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p>
  </w:footnote>
  <w:footnote w:id="17">
    <w:p w14:paraId="2F4D6EB4" w14:textId="77777777" w:rsidR="007B7690" w:rsidRPr="00C932A7" w:rsidRDefault="007B7690" w:rsidP="007B7690">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18">
    <w:p w14:paraId="489CAB09" w14:textId="77777777" w:rsidR="007B7690" w:rsidRPr="00413223" w:rsidRDefault="007B7690" w:rsidP="007B7690">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p>
  </w:footnote>
  <w:footnote w:id="19">
    <w:p w14:paraId="3D5A4239" w14:textId="77777777" w:rsidR="007B7690" w:rsidRPr="00BB163D" w:rsidRDefault="007B7690" w:rsidP="007B7690">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p>
  </w:footnote>
  <w:footnote w:id="20">
    <w:p w14:paraId="049EA870" w14:textId="77777777" w:rsidR="008A02CC" w:rsidRPr="006A39AF" w:rsidRDefault="008A02CC" w:rsidP="008A02CC">
      <w:pPr>
        <w:pStyle w:val="Textonotapie"/>
        <w:rPr>
          <w:lang w:val="en-US"/>
        </w:rPr>
      </w:pPr>
      <w:r>
        <w:rPr>
          <w:rStyle w:val="Refdenotaalpie"/>
        </w:rPr>
        <w:footnoteRef/>
      </w:r>
      <w:r>
        <w:t xml:space="preserve"> </w:t>
      </w:r>
      <w:r w:rsidRPr="006042D5">
        <w:t xml:space="preserve">Directive 2014/24/EU of the European Parliament and of the Council of 26 February 2014 on public procurement and repealing Directive 2004/18/EC Art </w:t>
      </w:r>
      <w:r>
        <w:t>31</w:t>
      </w:r>
    </w:p>
  </w:footnote>
  <w:footnote w:id="21">
    <w:p w14:paraId="39811402" w14:textId="4FA16AF4" w:rsidR="002D5B30" w:rsidRPr="002D5B30" w:rsidRDefault="002D5B30">
      <w:pPr>
        <w:pStyle w:val="Textonotapie"/>
      </w:pPr>
      <w:r>
        <w:rPr>
          <w:rStyle w:val="Refdenotaalpie"/>
        </w:rPr>
        <w:footnoteRef/>
      </w:r>
      <w:r w:rsidRPr="002D5B30">
        <w:t xml:space="preserve"> </w:t>
      </w:r>
      <w:r w:rsidRPr="006042D5">
        <w:t>Directive 2014/24/EU of the European Parliament and of the Council of 26 February 2014 on public procurement and repealing Directive 2004/18/EC Art</w:t>
      </w:r>
      <w:r>
        <w:t xml:space="preserve"> 72 1(a)</w:t>
      </w:r>
    </w:p>
  </w:footnote>
  <w:footnote w:id="22">
    <w:p w14:paraId="4AAB6943" w14:textId="77777777" w:rsidR="00435803" w:rsidRPr="00435803" w:rsidRDefault="00435803">
      <w:pPr>
        <w:pStyle w:val="Textonotapie"/>
        <w:rPr>
          <w:lang w:val="es-ES"/>
        </w:rPr>
      </w:pPr>
      <w:r>
        <w:rPr>
          <w:rStyle w:val="Refdenotaalpie"/>
        </w:rPr>
        <w:footnoteRef/>
      </w:r>
      <w:r w:rsidRPr="00435803">
        <w:rPr>
          <w:lang w:val="es-ES"/>
        </w:rPr>
        <w:t xml:space="preserve"> CIVIO, “</w:t>
      </w:r>
      <w:r w:rsidRPr="00435803">
        <w:rPr>
          <w:i/>
          <w:lang w:val="es-ES"/>
        </w:rPr>
        <w:t>Contratopedia: Guía básica de la Ley de Contratos del Sector Público para principiantes</w:t>
      </w:r>
      <w:r>
        <w:rPr>
          <w:lang w:val="es-ES"/>
        </w:rPr>
        <w:t xml:space="preserve">” </w:t>
      </w:r>
    </w:p>
  </w:footnote>
  <w:footnote w:id="23">
    <w:p w14:paraId="2CF2000A" w14:textId="77777777" w:rsidR="007B7690" w:rsidRPr="001F1498" w:rsidRDefault="007B7690" w:rsidP="007B7690">
      <w:pPr>
        <w:pStyle w:val="Textonotapie"/>
      </w:pPr>
      <w:r>
        <w:rPr>
          <w:rStyle w:val="Refdenotaalpie"/>
        </w:rPr>
        <w:footnoteRef/>
      </w:r>
      <w:r>
        <w:t xml:space="preserve"> </w:t>
      </w:r>
      <w:r>
        <w:rPr>
          <w:rFonts w:ascii="Segoe UI" w:hAnsi="Segoe UI" w:cs="Segoe UI"/>
          <w:color w:val="212529"/>
          <w:shd w:val="clear" w:color="auto" w:fill="FFFFFF"/>
        </w:rPr>
        <w:t xml:space="preserve">Ojeu.eu, “Welcome to OJEU.eu” [ </w:t>
      </w:r>
      <w:proofErr w:type="gramStart"/>
      <w:r>
        <w:rPr>
          <w:rStyle w:val="nfasis"/>
          <w:rFonts w:ascii="Segoe UI" w:hAnsi="Segoe UI" w:cs="Segoe UI"/>
          <w:color w:val="212529"/>
          <w:shd w:val="clear" w:color="auto" w:fill="FFFFFF"/>
        </w:rPr>
        <w:t>OJEU</w:t>
      </w:r>
      <w:r>
        <w:rPr>
          <w:rFonts w:ascii="Segoe UI" w:hAnsi="Segoe UI" w:cs="Segoe UI"/>
          <w:color w:val="212529"/>
          <w:shd w:val="clear" w:color="auto" w:fill="FFFFFF"/>
        </w:rPr>
        <w:t xml:space="preserve"> ]</w:t>
      </w:r>
      <w:proofErr w:type="gramEnd"/>
      <w:r>
        <w:rPr>
          <w:rFonts w:ascii="Segoe UI" w:hAnsi="Segoe UI" w:cs="Segoe UI"/>
          <w:color w:val="212529"/>
          <w:shd w:val="clear" w:color="auto" w:fill="FFFFFF"/>
        </w:rPr>
        <w:t> &lt;https://www.ojeu.eu/&gt; accessed 29 August 2019</w:t>
      </w:r>
    </w:p>
  </w:footnote>
  <w:footnote w:id="24">
    <w:p w14:paraId="5AF84B29" w14:textId="77777777" w:rsidR="00032873" w:rsidRPr="00032873" w:rsidRDefault="00032873">
      <w:pPr>
        <w:pStyle w:val="Textonotapie"/>
      </w:pPr>
      <w:r>
        <w:rPr>
          <w:rStyle w:val="Refdenotaalpie"/>
        </w:rPr>
        <w:footnoteRef/>
      </w:r>
      <w:r>
        <w:t xml:space="preserve"> European Commission, “Public Procurement Guidance for Practitioners” [ February </w:t>
      </w:r>
      <w:proofErr w:type="gramStart"/>
      <w:r>
        <w:t>2018 ]</w:t>
      </w:r>
      <w:proofErr w:type="gramEnd"/>
    </w:p>
  </w:footnote>
  <w:footnote w:id="25">
    <w:p w14:paraId="67C45C12" w14:textId="77777777" w:rsidR="008A02CC" w:rsidRPr="0069776B" w:rsidRDefault="008A02CC" w:rsidP="008A02CC">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r>
        <w:rPr>
          <w:lang w:val="en-US"/>
        </w:rPr>
        <w:t xml:space="preserve">7 </w:t>
      </w:r>
    </w:p>
  </w:footnote>
  <w:footnote w:id="26">
    <w:p w14:paraId="730D1CCA" w14:textId="77777777" w:rsidR="008A02CC" w:rsidRPr="003E0013" w:rsidRDefault="008A02CC" w:rsidP="008A02CC">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r>
        <w:t xml:space="preserve"> </w:t>
      </w:r>
    </w:p>
  </w:footnote>
  <w:footnote w:id="27">
    <w:p w14:paraId="3B4E4638" w14:textId="77777777" w:rsidR="00376F92" w:rsidRPr="007F74A0" w:rsidRDefault="00376F92" w:rsidP="00376F92">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w:t>
      </w:r>
    </w:p>
  </w:footnote>
  <w:footnote w:id="28">
    <w:p w14:paraId="44E8AD15" w14:textId="77777777" w:rsidR="00376F92" w:rsidRPr="007F74A0" w:rsidRDefault="00376F92" w:rsidP="00376F92">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29">
    <w:p w14:paraId="17B8AC3D" w14:textId="77777777" w:rsidR="007B7690" w:rsidRPr="00886F22" w:rsidRDefault="007B7690" w:rsidP="007B7690">
      <w:pPr>
        <w:pStyle w:val="Textonotapie"/>
        <w:rPr>
          <w:lang w:val="en-US"/>
        </w:rPr>
      </w:pPr>
      <w:r>
        <w:rPr>
          <w:rStyle w:val="Refdenotaalpie"/>
        </w:rPr>
        <w:footnoteRef/>
      </w:r>
      <w:r>
        <w:t xml:space="preserve"> </w:t>
      </w:r>
      <w:r w:rsidRPr="000A5AE7">
        <w:t>Nathan Holden, 'What constitutes a "contract for pecuniary interest" under the Public Cont</w:t>
      </w:r>
      <w:r>
        <w:t xml:space="preserve">racts Regulations (PCR) 2015?' [ </w:t>
      </w:r>
      <w:proofErr w:type="spellStart"/>
      <w:r>
        <w:t>Freeths</w:t>
      </w:r>
      <w:proofErr w:type="spellEnd"/>
      <w:r>
        <w:t xml:space="preserve">, 6 November </w:t>
      </w:r>
      <w:proofErr w:type="gramStart"/>
      <w:r>
        <w:t>2018 ]</w:t>
      </w:r>
      <w:proofErr w:type="gramEnd"/>
      <w:r>
        <w:t xml:space="preserve"> </w:t>
      </w:r>
      <w:r w:rsidRPr="000A5AE7">
        <w:t xml:space="preserve"> &lt;https://business.freeths.co.uk/post/102f5cg/what-constitutes-a-contract-for-pecuniary-interest-under-the-public-contracts-r&gt; accessed 29 August 2019</w:t>
      </w:r>
    </w:p>
  </w:footnote>
  <w:footnote w:id="30">
    <w:p w14:paraId="22B47103" w14:textId="77777777" w:rsidR="007B7690" w:rsidRPr="00BD1002" w:rsidRDefault="007B7690" w:rsidP="007B7690">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p>
  </w:footnote>
  <w:footnote w:id="31">
    <w:p w14:paraId="7F603330" w14:textId="77777777" w:rsidR="007B7690" w:rsidRPr="00886F22" w:rsidRDefault="007B7690" w:rsidP="007B7690">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32">
    <w:p w14:paraId="1D148A72" w14:textId="77777777" w:rsidR="008A02CC" w:rsidRPr="003E0013" w:rsidRDefault="008A02CC" w:rsidP="008A02CC">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33">
    <w:p w14:paraId="380FF874" w14:textId="77777777" w:rsidR="008A02CC" w:rsidRPr="004A0340" w:rsidRDefault="008A02CC" w:rsidP="008A02CC">
      <w:pPr>
        <w:pStyle w:val="Textonotapie"/>
        <w:rPr>
          <w:lang w:val="en-US"/>
        </w:rPr>
      </w:pPr>
      <w:r>
        <w:rPr>
          <w:rStyle w:val="Refdenotaalpie"/>
        </w:rPr>
        <w:footnoteRef/>
      </w:r>
      <w:r>
        <w:t xml:space="preserve"> </w:t>
      </w:r>
      <w:r w:rsidRPr="006042D5">
        <w:t>Directive 2014/24/EU of the European Parliament and of the Council of 26 February 2014 on public procurement and repealing Directive 2004/18/EC Art 2</w:t>
      </w:r>
      <w:r>
        <w:t>8</w:t>
      </w:r>
    </w:p>
  </w:footnote>
  <w:footnote w:id="34">
    <w:p w14:paraId="57BB4717" w14:textId="77777777" w:rsidR="008A02CC" w:rsidRPr="003E0013" w:rsidRDefault="008A02CC" w:rsidP="008A02CC">
      <w:pPr>
        <w:pStyle w:val="Textonotapie"/>
        <w:rPr>
          <w:lang w:val="en-US"/>
        </w:rPr>
      </w:pPr>
      <w:r>
        <w:rPr>
          <w:rStyle w:val="Refdenotaalpie"/>
        </w:rPr>
        <w:footnoteRef/>
      </w:r>
      <w:r>
        <w:t xml:space="preserve"> European Commission, “Public Procurement Guidance for Practitioners” [ February </w:t>
      </w:r>
      <w:proofErr w:type="gramStart"/>
      <w:r>
        <w:t>2018 ]</w:t>
      </w:r>
      <w:proofErr w:type="gramEnd"/>
    </w:p>
  </w:footnote>
  <w:footnote w:id="35">
    <w:p w14:paraId="2898B3FF" w14:textId="77777777" w:rsidR="007B7690" w:rsidRPr="00694624" w:rsidRDefault="007B7690" w:rsidP="007B7690">
      <w:pPr>
        <w:pStyle w:val="Textonotapie"/>
      </w:pPr>
      <w:r>
        <w:rPr>
          <w:rStyle w:val="Refdenotaalpie"/>
        </w:rPr>
        <w:footnoteRef/>
      </w:r>
      <w:r>
        <w:t xml:space="preserve"> </w:t>
      </w:r>
      <w:r w:rsidRPr="000A5AE7">
        <w:t>Europa</w:t>
      </w:r>
      <w:r>
        <w:t>.eu, “About TED”</w:t>
      </w:r>
      <w:r w:rsidRPr="000A5AE7">
        <w:t xml:space="preserve"> </w:t>
      </w:r>
      <w:r>
        <w:t xml:space="preserve">[ </w:t>
      </w:r>
      <w:proofErr w:type="gramStart"/>
      <w:r w:rsidRPr="000A5AE7">
        <w:t>TED</w:t>
      </w:r>
      <w:r>
        <w:t xml:space="preserve"> ]</w:t>
      </w:r>
      <w:proofErr w:type="gramEnd"/>
      <w:r>
        <w:t xml:space="preserve"> </w:t>
      </w:r>
      <w:r w:rsidRPr="000A5AE7">
        <w:t>&lt;https://ted.europa.eu/TED/misc/aboutTed.do&gt; accessed 29 August 2019</w:t>
      </w:r>
    </w:p>
  </w:footnote>
  <w:footnote w:id="36">
    <w:p w14:paraId="053E0559" w14:textId="77777777" w:rsidR="007B7690" w:rsidRPr="00B0096D" w:rsidRDefault="007B7690" w:rsidP="007B7690">
      <w:pPr>
        <w:pStyle w:val="Textonotapie"/>
        <w:rPr>
          <w:lang w:val="en-US"/>
        </w:rPr>
      </w:pPr>
      <w:r>
        <w:rPr>
          <w:rStyle w:val="Refdenotaalpie"/>
        </w:rPr>
        <w:footnoteRef/>
      </w:r>
      <w:r>
        <w:t xml:space="preserve"> </w:t>
      </w:r>
      <w:r w:rsidRPr="00406ECD">
        <w:t xml:space="preserve">Will Kenton, </w:t>
      </w:r>
      <w:r>
        <w:t>“</w:t>
      </w:r>
      <w:r w:rsidRPr="00406ECD">
        <w:t>Mergers &amp; Acquisitions</w:t>
      </w:r>
      <w:r>
        <w:t xml:space="preserve">” [ Investopedia, 9 April </w:t>
      </w:r>
      <w:proofErr w:type="gramStart"/>
      <w:r>
        <w:t>2019 ]</w:t>
      </w:r>
      <w:proofErr w:type="gramEnd"/>
      <w:r>
        <w:t xml:space="preserve"> </w:t>
      </w:r>
      <w:r w:rsidRPr="00406ECD">
        <w:t>&lt;https://www.investopedia.com/terms/t/tender.asp&gt; accessed 29 August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43F3"/>
    <w:multiLevelType w:val="hybridMultilevel"/>
    <w:tmpl w:val="292E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73746"/>
    <w:multiLevelType w:val="hybridMultilevel"/>
    <w:tmpl w:val="8DE65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D5231"/>
    <w:multiLevelType w:val="hybridMultilevel"/>
    <w:tmpl w:val="BD1692D4"/>
    <w:lvl w:ilvl="0" w:tplc="0809000B">
      <w:start w:val="1"/>
      <w:numFmt w:val="bullet"/>
      <w:lvlText w:val=""/>
      <w:lvlJc w:val="left"/>
      <w:pPr>
        <w:ind w:left="1065" w:hanging="360"/>
      </w:pPr>
      <w:rPr>
        <w:rFonts w:ascii="Wingdings" w:hAnsi="Wingdings" w:hint="default"/>
        <w:color w:val="auto"/>
      </w:rPr>
    </w:lvl>
    <w:lvl w:ilvl="1" w:tplc="FACE3408">
      <w:start w:val="1"/>
      <w:numFmt w:val="lowerLetter"/>
      <w:lvlText w:val="%2."/>
      <w:lvlJc w:val="left"/>
      <w:pPr>
        <w:ind w:left="1785" w:hanging="360"/>
      </w:pPr>
      <w:rPr>
        <w:color w:val="auto"/>
      </w:r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1D37CA8"/>
    <w:multiLevelType w:val="hybridMultilevel"/>
    <w:tmpl w:val="19DA2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704B2"/>
    <w:multiLevelType w:val="hybridMultilevel"/>
    <w:tmpl w:val="B71C3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F0899"/>
    <w:multiLevelType w:val="hybridMultilevel"/>
    <w:tmpl w:val="F03A9600"/>
    <w:lvl w:ilvl="0" w:tplc="08090001">
      <w:start w:val="1"/>
      <w:numFmt w:val="bullet"/>
      <w:lvlText w:val=""/>
      <w:lvlJc w:val="left"/>
      <w:pPr>
        <w:ind w:left="1065" w:hanging="360"/>
      </w:pPr>
      <w:rPr>
        <w:rFonts w:ascii="Symbol" w:hAnsi="Symbol" w:hint="default"/>
        <w:color w:val="auto"/>
      </w:rPr>
    </w:lvl>
    <w:lvl w:ilvl="1" w:tplc="FACE3408">
      <w:start w:val="1"/>
      <w:numFmt w:val="lowerLetter"/>
      <w:lvlText w:val="%2."/>
      <w:lvlJc w:val="left"/>
      <w:pPr>
        <w:ind w:left="1785" w:hanging="360"/>
      </w:pPr>
      <w:rPr>
        <w:color w:val="auto"/>
      </w:r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37DB0ED3"/>
    <w:multiLevelType w:val="hybridMultilevel"/>
    <w:tmpl w:val="AE2085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B2A34"/>
    <w:multiLevelType w:val="hybridMultilevel"/>
    <w:tmpl w:val="940C3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D1522"/>
    <w:multiLevelType w:val="hybridMultilevel"/>
    <w:tmpl w:val="F62A2E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2233A"/>
    <w:multiLevelType w:val="hybridMultilevel"/>
    <w:tmpl w:val="63841A44"/>
    <w:lvl w:ilvl="0" w:tplc="E6DC0932">
      <w:start w:val="1"/>
      <w:numFmt w:val="decimal"/>
      <w:lvlText w:val="%1."/>
      <w:lvlJc w:val="left"/>
      <w:pPr>
        <w:ind w:left="1065" w:hanging="360"/>
      </w:pPr>
      <w:rPr>
        <w:rFonts w:hint="default"/>
        <w:color w:val="auto"/>
      </w:rPr>
    </w:lvl>
    <w:lvl w:ilvl="1" w:tplc="FACE3408">
      <w:start w:val="1"/>
      <w:numFmt w:val="lowerLetter"/>
      <w:lvlText w:val="%2."/>
      <w:lvlJc w:val="left"/>
      <w:pPr>
        <w:ind w:left="1785" w:hanging="360"/>
      </w:pPr>
      <w:rPr>
        <w:color w:val="auto"/>
      </w:r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707F7640"/>
    <w:multiLevelType w:val="hybridMultilevel"/>
    <w:tmpl w:val="92160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2108E"/>
    <w:multiLevelType w:val="hybridMultilevel"/>
    <w:tmpl w:val="87F2F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4"/>
  </w:num>
  <w:num w:numId="6">
    <w:abstractNumId w:val="6"/>
  </w:num>
  <w:num w:numId="7">
    <w:abstractNumId w:val="10"/>
  </w:num>
  <w:num w:numId="8">
    <w:abstractNumId w:val="1"/>
  </w:num>
  <w:num w:numId="9">
    <w:abstractNumId w:val="9"/>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90"/>
    <w:rsid w:val="00016076"/>
    <w:rsid w:val="00032873"/>
    <w:rsid w:val="000A05E5"/>
    <w:rsid w:val="000A1FC5"/>
    <w:rsid w:val="000B10B4"/>
    <w:rsid w:val="000D0AA7"/>
    <w:rsid w:val="00110683"/>
    <w:rsid w:val="00194FB5"/>
    <w:rsid w:val="001F0BEF"/>
    <w:rsid w:val="00212631"/>
    <w:rsid w:val="00266BDD"/>
    <w:rsid w:val="002D5B30"/>
    <w:rsid w:val="0034307F"/>
    <w:rsid w:val="00376F92"/>
    <w:rsid w:val="003A3194"/>
    <w:rsid w:val="003C0140"/>
    <w:rsid w:val="003D4238"/>
    <w:rsid w:val="0043206A"/>
    <w:rsid w:val="00435803"/>
    <w:rsid w:val="004C6C8B"/>
    <w:rsid w:val="004F58E0"/>
    <w:rsid w:val="00527C71"/>
    <w:rsid w:val="005E7785"/>
    <w:rsid w:val="005F00D5"/>
    <w:rsid w:val="006402F6"/>
    <w:rsid w:val="0067153D"/>
    <w:rsid w:val="006B3F7D"/>
    <w:rsid w:val="006D2ECC"/>
    <w:rsid w:val="006D3CF1"/>
    <w:rsid w:val="006F052A"/>
    <w:rsid w:val="0073078D"/>
    <w:rsid w:val="0078722A"/>
    <w:rsid w:val="007928FC"/>
    <w:rsid w:val="007B0C51"/>
    <w:rsid w:val="007B7690"/>
    <w:rsid w:val="007C1EBB"/>
    <w:rsid w:val="007D37EB"/>
    <w:rsid w:val="008A02CC"/>
    <w:rsid w:val="008A79BB"/>
    <w:rsid w:val="008D2656"/>
    <w:rsid w:val="00927CFA"/>
    <w:rsid w:val="00936931"/>
    <w:rsid w:val="009A1FBF"/>
    <w:rsid w:val="009D065A"/>
    <w:rsid w:val="00B50BAE"/>
    <w:rsid w:val="00B6774F"/>
    <w:rsid w:val="00B822BA"/>
    <w:rsid w:val="00B83ACE"/>
    <w:rsid w:val="00BB3E36"/>
    <w:rsid w:val="00C562EA"/>
    <w:rsid w:val="00C61D16"/>
    <w:rsid w:val="00C845D4"/>
    <w:rsid w:val="00C84FA0"/>
    <w:rsid w:val="00C95257"/>
    <w:rsid w:val="00C96338"/>
    <w:rsid w:val="00CA01B0"/>
    <w:rsid w:val="00CE142E"/>
    <w:rsid w:val="00D05ADA"/>
    <w:rsid w:val="00D40105"/>
    <w:rsid w:val="00D53A55"/>
    <w:rsid w:val="00E82EE8"/>
    <w:rsid w:val="00EC6A1C"/>
    <w:rsid w:val="00F1054C"/>
    <w:rsid w:val="00F42BCF"/>
    <w:rsid w:val="00FA07CB"/>
    <w:rsid w:val="00FC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2FE9"/>
  <w15:chartTrackingRefBased/>
  <w15:docId w15:val="{9C216E26-1536-46D5-858C-D736C2C4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2">
    <w:name w:val="heading 2"/>
    <w:basedOn w:val="Normal"/>
    <w:next w:val="Normal"/>
    <w:link w:val="Ttulo2Car"/>
    <w:uiPriority w:val="9"/>
    <w:unhideWhenUsed/>
    <w:qFormat/>
    <w:rsid w:val="007B7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7690"/>
    <w:rPr>
      <w:rFonts w:asciiTheme="majorHAnsi" w:eastAsiaTheme="majorEastAsia" w:hAnsiTheme="majorHAnsi" w:cstheme="majorBidi"/>
      <w:color w:val="2E74B5" w:themeColor="accent1" w:themeShade="BF"/>
      <w:sz w:val="26"/>
      <w:szCs w:val="26"/>
      <w:lang w:val="en-GB"/>
    </w:rPr>
  </w:style>
  <w:style w:type="paragraph" w:styleId="Textonotapie">
    <w:name w:val="footnote text"/>
    <w:basedOn w:val="Normal"/>
    <w:link w:val="TextonotapieCar"/>
    <w:uiPriority w:val="99"/>
    <w:semiHidden/>
    <w:unhideWhenUsed/>
    <w:rsid w:val="007B76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7690"/>
    <w:rPr>
      <w:sz w:val="20"/>
      <w:szCs w:val="20"/>
      <w:lang w:val="en-GB"/>
    </w:rPr>
  </w:style>
  <w:style w:type="character" w:styleId="Refdenotaalpie">
    <w:name w:val="footnote reference"/>
    <w:basedOn w:val="Fuentedeprrafopredeter"/>
    <w:uiPriority w:val="99"/>
    <w:semiHidden/>
    <w:unhideWhenUsed/>
    <w:rsid w:val="007B7690"/>
    <w:rPr>
      <w:vertAlign w:val="superscript"/>
    </w:rPr>
  </w:style>
  <w:style w:type="paragraph" w:styleId="Prrafodelista">
    <w:name w:val="List Paragraph"/>
    <w:basedOn w:val="Normal"/>
    <w:uiPriority w:val="34"/>
    <w:qFormat/>
    <w:rsid w:val="007B7690"/>
    <w:pPr>
      <w:ind w:left="720"/>
      <w:contextualSpacing/>
    </w:pPr>
  </w:style>
  <w:style w:type="paragraph" w:styleId="Sinespaciado">
    <w:name w:val="No Spacing"/>
    <w:uiPriority w:val="1"/>
    <w:qFormat/>
    <w:rsid w:val="007B7690"/>
    <w:pPr>
      <w:spacing w:after="0" w:line="240" w:lineRule="auto"/>
    </w:pPr>
    <w:rPr>
      <w:lang w:val="en-GB"/>
    </w:rPr>
  </w:style>
  <w:style w:type="character" w:styleId="nfasis">
    <w:name w:val="Emphasis"/>
    <w:basedOn w:val="Fuentedeprrafopredeter"/>
    <w:uiPriority w:val="20"/>
    <w:qFormat/>
    <w:rsid w:val="007B7690"/>
    <w:rPr>
      <w:i/>
      <w:iCs/>
    </w:rPr>
  </w:style>
  <w:style w:type="character" w:styleId="Refdecomentario">
    <w:name w:val="annotation reference"/>
    <w:basedOn w:val="Fuentedeprrafopredeter"/>
    <w:uiPriority w:val="99"/>
    <w:semiHidden/>
    <w:unhideWhenUsed/>
    <w:rsid w:val="003D4238"/>
    <w:rPr>
      <w:sz w:val="16"/>
      <w:szCs w:val="16"/>
    </w:rPr>
  </w:style>
  <w:style w:type="paragraph" w:styleId="Textocomentario">
    <w:name w:val="annotation text"/>
    <w:basedOn w:val="Normal"/>
    <w:link w:val="TextocomentarioCar"/>
    <w:uiPriority w:val="99"/>
    <w:semiHidden/>
    <w:unhideWhenUsed/>
    <w:rsid w:val="003D42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423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3D4238"/>
    <w:rPr>
      <w:b/>
      <w:bCs/>
    </w:rPr>
  </w:style>
  <w:style w:type="character" w:customStyle="1" w:styleId="AsuntodelcomentarioCar">
    <w:name w:val="Asunto del comentario Car"/>
    <w:basedOn w:val="TextocomentarioCar"/>
    <w:link w:val="Asuntodelcomentario"/>
    <w:uiPriority w:val="99"/>
    <w:semiHidden/>
    <w:rsid w:val="003D4238"/>
    <w:rPr>
      <w:b/>
      <w:bCs/>
      <w:sz w:val="20"/>
      <w:szCs w:val="20"/>
      <w:lang w:val="en-GB"/>
    </w:rPr>
  </w:style>
  <w:style w:type="paragraph" w:styleId="Textodeglobo">
    <w:name w:val="Balloon Text"/>
    <w:basedOn w:val="Normal"/>
    <w:link w:val="TextodegloboCar"/>
    <w:uiPriority w:val="99"/>
    <w:semiHidden/>
    <w:unhideWhenUsed/>
    <w:rsid w:val="003D42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238"/>
    <w:rPr>
      <w:rFonts w:ascii="Segoe UI" w:hAnsi="Segoe UI" w:cs="Segoe UI"/>
      <w:sz w:val="18"/>
      <w:szCs w:val="18"/>
      <w:lang w:val="en-GB"/>
    </w:rPr>
  </w:style>
  <w:style w:type="character" w:styleId="Hipervnculo">
    <w:name w:val="Hyperlink"/>
    <w:basedOn w:val="Fuentedeprrafopredeter"/>
    <w:uiPriority w:val="99"/>
    <w:semiHidden/>
    <w:unhideWhenUsed/>
    <w:rsid w:val="000A05E5"/>
    <w:rPr>
      <w:color w:val="0000FF"/>
      <w:u w:val="single"/>
    </w:rPr>
  </w:style>
  <w:style w:type="character" w:styleId="Hipervnculovisitado">
    <w:name w:val="FollowedHyperlink"/>
    <w:basedOn w:val="Fuentedeprrafopredeter"/>
    <w:uiPriority w:val="99"/>
    <w:semiHidden/>
    <w:unhideWhenUsed/>
    <w:rsid w:val="003430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FC9C-26E7-4049-B337-0BF5012E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dc:creator>
  <cp:keywords/>
  <dc:description/>
  <cp:lastModifiedBy>Paula Domínguez</cp:lastModifiedBy>
  <cp:revision>36</cp:revision>
  <dcterms:created xsi:type="dcterms:W3CDTF">2019-08-30T11:28:00Z</dcterms:created>
  <dcterms:modified xsi:type="dcterms:W3CDTF">2019-12-06T21:43:00Z</dcterms:modified>
</cp:coreProperties>
</file>