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35" w:rsidRDefault="00501E35">
      <w:pPr>
        <w:pStyle w:val="Poromisin"/>
        <w:ind w:right="720"/>
        <w:jc w:val="center"/>
        <w:rPr>
          <w:rFonts w:ascii="Verdana" w:hAnsi="Verdana"/>
          <w:b/>
          <w:bCs/>
          <w:sz w:val="26"/>
          <w:szCs w:val="26"/>
        </w:rPr>
      </w:pPr>
    </w:p>
    <w:p w:rsidR="00501E35" w:rsidRDefault="00501E35">
      <w:pPr>
        <w:pStyle w:val="Poromisin"/>
        <w:ind w:right="720"/>
        <w:jc w:val="center"/>
        <w:rPr>
          <w:rFonts w:ascii="Verdana" w:hAnsi="Verdana"/>
          <w:b/>
          <w:bCs/>
          <w:sz w:val="26"/>
          <w:szCs w:val="26"/>
        </w:rPr>
      </w:pPr>
    </w:p>
    <w:p w:rsidR="00501E35" w:rsidRDefault="0019568F">
      <w:pPr>
        <w:pStyle w:val="Poromisin"/>
        <w:ind w:right="720"/>
        <w:jc w:val="center"/>
        <w:rPr>
          <w:rFonts w:ascii="Verdana" w:eastAsia="Verdana" w:hAnsi="Verdana" w:cs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  <w:lang w:val="es-ES_tradnl"/>
        </w:rPr>
        <w:t>En defensa de un Registro de Lobbies eficaz en la Ordenanza de Transparencia del Ayuntamiento de Madrid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>La fase final de la tramitaci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del proyecto de </w:t>
      </w:r>
      <w:hyperlink r:id="rId6" w:history="1">
        <w:r>
          <w:rPr>
            <w:rStyle w:val="Hyperlink0"/>
            <w:rFonts w:ascii="Verdana" w:hAnsi="Verdana"/>
            <w:sz w:val="20"/>
            <w:szCs w:val="20"/>
            <w:lang w:val="it-IT"/>
          </w:rPr>
          <w:t>Ordenanza de Transparencia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 de la Ciudad de Madrid ha sacado a la luz, seg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 xml:space="preserve">n se desprende de las enmiendas presentadas por los grupos y por lo reflejado en el </w:t>
      </w:r>
      <w:hyperlink r:id="rId7" w:history="1">
        <w:r>
          <w:rPr>
            <w:rStyle w:val="Hyperlink0"/>
            <w:rFonts w:ascii="Verdana" w:hAnsi="Verdana"/>
            <w:sz w:val="20"/>
            <w:szCs w:val="20"/>
            <w:lang w:val="es-ES_tradnl"/>
          </w:rPr>
          <w:t>diario de sesiones</w:t>
        </w:r>
      </w:hyperlink>
      <w:r>
        <w:rPr>
          <w:rFonts w:ascii="Verdana" w:hAnsi="Verdana"/>
          <w:sz w:val="20"/>
          <w:szCs w:val="20"/>
          <w:lang w:val="es-ES_tradnl"/>
        </w:rPr>
        <w:t>, que un punto clave del proyecto, el Registro de Lobbies, genera discrep</w:t>
      </w:r>
      <w:r>
        <w:rPr>
          <w:rFonts w:ascii="Verdana" w:hAnsi="Verdana"/>
          <w:sz w:val="20"/>
          <w:szCs w:val="20"/>
          <w:lang w:val="es-ES_tradnl"/>
        </w:rPr>
        <w:t xml:space="preserve">ancias entre los distintos grupos municipales. 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 xml:space="preserve">El </w:t>
      </w:r>
      <w:hyperlink r:id="rId8" w:history="1">
        <w:r>
          <w:rPr>
            <w:rStyle w:val="Hyperlink0"/>
            <w:rFonts w:ascii="Verdana" w:hAnsi="Verdana"/>
            <w:sz w:val="20"/>
            <w:szCs w:val="20"/>
            <w:lang w:val="pt-PT"/>
          </w:rPr>
          <w:t>Grupo Municipal Socialista de Madrid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 ha remitido una enmienda, la </w:t>
      </w:r>
      <w:r>
        <w:rPr>
          <w:rStyle w:val="Ninguno"/>
          <w:rFonts w:ascii="Verdana" w:hAnsi="Verdana"/>
          <w:b/>
          <w:bCs/>
          <w:sz w:val="20"/>
          <w:szCs w:val="20"/>
        </w:rPr>
        <w:t>2016</w:t>
      </w:r>
      <w:r>
        <w:rPr>
          <w:rFonts w:ascii="Verdana" w:hAnsi="Verdana"/>
          <w:sz w:val="20"/>
          <w:szCs w:val="20"/>
        </w:rPr>
        <w:t>/</w:t>
      </w:r>
      <w:r>
        <w:rPr>
          <w:rStyle w:val="Ninguno"/>
          <w:rFonts w:ascii="Verdana" w:hAnsi="Verdana"/>
          <w:b/>
          <w:bCs/>
          <w:sz w:val="20"/>
          <w:szCs w:val="20"/>
        </w:rPr>
        <w:t>8000857</w:t>
      </w:r>
      <w:r>
        <w:rPr>
          <w:rFonts w:ascii="Verdana" w:hAnsi="Verdana"/>
          <w:sz w:val="20"/>
          <w:szCs w:val="20"/>
          <w:lang w:val="es-ES_tradnl"/>
        </w:rPr>
        <w:t>, que de ser aprobada diluir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 xml:space="preserve">a la eficacia del registro. Propone eliminar del art.37 </w:t>
      </w:r>
      <w:r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  <w:lang w:val="es-ES_tradnl"/>
        </w:rPr>
        <w:t>Responsabilidades por incumplimiento- la obligaci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de que,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  <w:lang w:val="es-ES_tradnl"/>
        </w:rPr>
        <w:t>en el supuesto de que no pueda acreditarse la inscripci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previa [en el Registro de Lobbies de una per</w:t>
      </w:r>
      <w:r>
        <w:rPr>
          <w:rFonts w:ascii="Verdana" w:hAnsi="Verdana"/>
          <w:sz w:val="20"/>
          <w:szCs w:val="20"/>
          <w:lang w:val="es-ES_tradnl"/>
        </w:rPr>
        <w:t>sona o grupo que nombre de un inter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s trate de influir sobre una pol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tica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blica] no deber</w:t>
      </w:r>
      <w:r>
        <w:rPr>
          <w:rFonts w:ascii="Verdana" w:hAnsi="Verdana"/>
          <w:sz w:val="20"/>
          <w:szCs w:val="20"/>
        </w:rPr>
        <w:t xml:space="preserve">á </w:t>
      </w:r>
      <w:r>
        <w:rPr>
          <w:rFonts w:ascii="Verdana" w:hAnsi="Verdana"/>
          <w:sz w:val="20"/>
          <w:szCs w:val="20"/>
          <w:lang w:val="es-ES_tradnl"/>
        </w:rPr>
        <w:t>celebrarse la reuni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o encuentro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  <w:lang w:val="es-ES_tradnl"/>
        </w:rPr>
        <w:t xml:space="preserve">. El </w:t>
      </w:r>
      <w:hyperlink r:id="rId9" w:history="1">
        <w:r>
          <w:rPr>
            <w:rStyle w:val="Hyperlink0"/>
            <w:rFonts w:ascii="Verdana" w:hAnsi="Verdana"/>
            <w:sz w:val="20"/>
            <w:szCs w:val="20"/>
            <w:lang w:val="es-ES_tradnl"/>
          </w:rPr>
          <w:t>Diario de Sesiones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 del 24 de junio refleja la oposici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del concejal socialista Ram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pt-PT"/>
        </w:rPr>
        <w:t>n</w:t>
      </w:r>
      <w:r>
        <w:rPr>
          <w:rFonts w:ascii="Verdana" w:hAnsi="Verdana"/>
          <w:sz w:val="20"/>
          <w:szCs w:val="20"/>
          <w:lang w:val="pt-PT"/>
        </w:rPr>
        <w:t xml:space="preserve"> Silva por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miedo</w:t>
      </w:r>
      <w:r>
        <w:rPr>
          <w:rFonts w:ascii="Verdana" w:hAnsi="Verdana"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  <w:lang w:val="es-ES_tradnl"/>
        </w:rPr>
        <w:t xml:space="preserve">a que ante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  <w:lang w:val="es-ES_tradnl"/>
        </w:rPr>
        <w:t>cada persona que le pare por la calle</w:t>
      </w:r>
      <w:r>
        <w:rPr>
          <w:rFonts w:ascii="Verdana" w:hAnsi="Verdana"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  <w:lang w:val="es-ES_tradnl"/>
        </w:rPr>
        <w:t>tenga que verificar si est</w:t>
      </w:r>
      <w:r>
        <w:rPr>
          <w:rFonts w:ascii="Verdana" w:hAnsi="Verdana"/>
          <w:sz w:val="20"/>
          <w:szCs w:val="20"/>
        </w:rPr>
        <w:t xml:space="preserve">á </w:t>
      </w:r>
      <w:r>
        <w:rPr>
          <w:rFonts w:ascii="Verdana" w:hAnsi="Verdana"/>
          <w:sz w:val="20"/>
          <w:szCs w:val="20"/>
          <w:lang w:val="es-ES_tradnl"/>
        </w:rPr>
        <w:t>inscrita previamente. Tambi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n alega en una enmienda transaccional que tener que acreditar la inscripci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previa en el Registro de lobbies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podr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a limitar la l</w:t>
      </w:r>
      <w:r>
        <w:rPr>
          <w:rFonts w:ascii="Verdana" w:hAnsi="Verdana"/>
          <w:sz w:val="20"/>
          <w:szCs w:val="20"/>
          <w:lang w:val="es-ES_tradnl"/>
        </w:rPr>
        <w:t>ibertad de actuaci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los concejales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. 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 xml:space="preserve">La </w:t>
      </w:r>
      <w:hyperlink r:id="rId10" w:history="1">
        <w:r>
          <w:rPr>
            <w:rStyle w:val="Hyperlink0"/>
            <w:rFonts w:ascii="Verdana" w:hAnsi="Verdana"/>
            <w:sz w:val="20"/>
            <w:szCs w:val="20"/>
            <w:lang w:val="es-ES_tradnl"/>
          </w:rPr>
          <w:t>Fundaci</w:t>
        </w:r>
        <w:r>
          <w:rPr>
            <w:rStyle w:val="Hyperlink0"/>
            <w:rFonts w:ascii="Verdana" w:hAnsi="Verdana"/>
            <w:sz w:val="20"/>
            <w:szCs w:val="20"/>
          </w:rPr>
          <w:t>ó</w:t>
        </w:r>
        <w:r>
          <w:rPr>
            <w:rStyle w:val="Hyperlink0"/>
            <w:rFonts w:ascii="Verdana" w:hAnsi="Verdana"/>
            <w:sz w:val="20"/>
            <w:szCs w:val="20"/>
          </w:rPr>
          <w:t>n Civio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 y </w:t>
      </w:r>
      <w:hyperlink r:id="rId11" w:history="1">
        <w:r>
          <w:rPr>
            <w:rStyle w:val="Hyperlink0"/>
            <w:rFonts w:ascii="Verdana" w:hAnsi="Verdana"/>
            <w:sz w:val="20"/>
            <w:szCs w:val="20"/>
            <w:lang w:val="en-US"/>
          </w:rPr>
          <w:t>Access Info Europe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, dos organizaciones de la sociedad civil que trabajamos para mejorar la transparencia y el </w:t>
      </w:r>
      <w:r>
        <w:rPr>
          <w:rFonts w:ascii="Verdana" w:hAnsi="Verdana"/>
          <w:sz w:val="20"/>
          <w:szCs w:val="20"/>
          <w:lang w:val="es-ES_tradnl"/>
        </w:rPr>
        <w:t>acceso a la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>n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blica, consideramos muy importante que no se diluyan las exigencias de este Registro de Lobbies en esta fase final de la aprobaci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la ordenanza, lo que lastrar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a la eficacia de unos de las medidas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 importantes y novedosas d</w:t>
      </w:r>
      <w:r>
        <w:rPr>
          <w:rFonts w:ascii="Verdana" w:hAnsi="Verdana"/>
          <w:sz w:val="20"/>
          <w:szCs w:val="20"/>
          <w:lang w:val="es-ES_tradnl"/>
        </w:rPr>
        <w:t>e esta ordenanza.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Adem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s, queremos aclarar que hablar con la calle con un ciudadano no es lo mismo que reunirse con un grupo de presi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n. El matiz es claro: solo deben estar registradas aquellas personas o entidades que pretendan influir en la aprobaci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</w:t>
      </w:r>
      <w:r>
        <w:rPr>
          <w:rFonts w:ascii="Verdana" w:hAnsi="Verdana"/>
          <w:sz w:val="20"/>
          <w:szCs w:val="20"/>
          <w:lang w:val="es-ES_tradnl"/>
        </w:rPr>
        <w:t>e una norma. Y ese tipo de reuniones de contacto con los lobbies no se celebran -o no se deber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an celebrar- al vuelo y en plena calle.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>Ambas organizaciones mantenemos que la inscripci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en el Registro de los Lobbies debe ser un requisito previo y obligato</w:t>
      </w:r>
      <w:r>
        <w:rPr>
          <w:rFonts w:ascii="Verdana" w:hAnsi="Verdana"/>
          <w:sz w:val="20"/>
          <w:szCs w:val="20"/>
          <w:lang w:val="es-ES_tradnl"/>
        </w:rPr>
        <w:t>rio, que solo las personas o entidades inscritas deber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an tener acceso a los representantes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blicos del Ayuntamiento de Madrid y que, en el supuesto de que no pueda acreditarse la inscripci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previamente, no debe celebrarse la reuni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o encuentro.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de-DE"/>
        </w:rPr>
        <w:t>Es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s, tambi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n consideramos necesario incluir en el 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gimen sancionador, como infracci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grave (o muy grave en caso de incumplimiento reiterado), el incumplimiento de las obligaciones derivadas del Registro de Lobbies. En este caso, el hecho de reunirse con to</w:t>
      </w:r>
      <w:r>
        <w:rPr>
          <w:rFonts w:ascii="Verdana" w:hAnsi="Verdana"/>
          <w:sz w:val="20"/>
          <w:szCs w:val="20"/>
          <w:lang w:val="es-ES_tradnl"/>
        </w:rPr>
        <w:t>da persona no inscrita previamente en el Registro de Lobbies que tenga intenci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influir en la elaboraci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normas jur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dicas y en la elaboraci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y aplicaci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las pol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pt-PT"/>
        </w:rPr>
        <w:t>ticas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blicas en defensa de intereses propios, de terceras personas u organizacio</w:t>
      </w:r>
      <w:r>
        <w:rPr>
          <w:rFonts w:ascii="Verdana" w:hAnsi="Verdana"/>
          <w:sz w:val="20"/>
          <w:szCs w:val="20"/>
          <w:lang w:val="es-ES_tradnl"/>
        </w:rPr>
        <w:t>nes o incluso de intereses generales, del Ayuntamiento de Madrid y de sus organismos aut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nomos.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 xml:space="preserve">En lo que respecta al Registro de Lobbies, el socialista es el 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nico grupo que ha formulado enmiendas para reducir las obligaciones. Sucede al contrario con el</w:t>
      </w:r>
      <w:r>
        <w:rPr>
          <w:rFonts w:ascii="Verdana" w:hAnsi="Verdana"/>
          <w:sz w:val="20"/>
          <w:szCs w:val="20"/>
          <w:lang w:val="es-ES_tradnl"/>
        </w:rPr>
        <w:t xml:space="preserve"> Grupo Popular, que pide ampliarlas, adem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 de a los concejales, a su personal eventual, y tambi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 xml:space="preserve">n a los titulares de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  <w:lang w:val="es-ES_tradnl"/>
        </w:rPr>
        <w:t>las dem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pt-PT"/>
        </w:rPr>
        <w:t>s entidades afectadas</w:t>
      </w:r>
      <w:r>
        <w:rPr>
          <w:rFonts w:ascii="Verdana" w:hAnsi="Verdana"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  <w:lang w:val="es-ES_tradnl"/>
        </w:rPr>
        <w:t xml:space="preserve">por la ordenanza (no solo de los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rganos directivos del Ayuntamiento, como figura en el proyecto).  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501E35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</w:p>
    <w:p w:rsidR="00501E35" w:rsidRDefault="00501E35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</w:p>
    <w:p w:rsidR="00501E35" w:rsidRDefault="00501E35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s-ES_tradnl"/>
        </w:rPr>
        <w:t>S</w:t>
      </w:r>
      <w:r>
        <w:rPr>
          <w:rFonts w:ascii="Verdana" w:hAnsi="Verdana"/>
          <w:b/>
          <w:bCs/>
          <w:sz w:val="20"/>
          <w:szCs w:val="20"/>
          <w:lang w:val="es-ES_tradnl"/>
        </w:rPr>
        <w:t>obre otras enmiendas presentadas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>Aunque la enmienda anteriormente referida sobre el Registro de Lobbies nos parece de las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 relevantes, los grupos han presentado muchas otras que merecen una consideraci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individual. Entre ellas: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sz w:val="20"/>
          <w:szCs w:val="20"/>
          <w:lang w:val="es-ES_tradnl"/>
        </w:rPr>
        <w:t xml:space="preserve">Enmiendas presentadas 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por el </w:t>
      </w:r>
      <w:hyperlink r:id="rId12" w:history="1">
        <w:r>
          <w:rPr>
            <w:rFonts w:ascii="Verdana" w:hAnsi="Verdana"/>
            <w:color w:val="0432FF"/>
            <w:sz w:val="20"/>
            <w:szCs w:val="20"/>
            <w:u w:val="single"/>
            <w:lang w:val="es-ES_tradnl"/>
          </w:rPr>
          <w:t>Grupo Municipal del Partido Popular</w:t>
        </w:r>
      </w:hyperlink>
      <w:r>
        <w:rPr>
          <w:rStyle w:val="Ninguno"/>
          <w:rFonts w:ascii="Verdana" w:hAnsi="Verdana"/>
          <w:sz w:val="20"/>
          <w:szCs w:val="20"/>
        </w:rPr>
        <w:t>: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>8000898</w:t>
      </w:r>
      <w:r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  <w:lang w:val="es-ES_tradnl"/>
        </w:rPr>
        <w:t>Para modificar el art.5.3 de la ordenanza de modo que, aunque se solicite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que no contenga datos especialmente protegidos, la ponderaci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entre el inter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>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 y el derecho a la protecci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datos dependa finalmente de la votaci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los concejales en el pleno del Ayuntamiento. Lo consideramos muy negativo porque politiza una decisi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que deber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 xml:space="preserve">a estar siempre en manos de un regulador, el Comisionado </w:t>
      </w:r>
      <w:r>
        <w:rPr>
          <w:rFonts w:ascii="Verdana" w:hAnsi="Verdana"/>
          <w:sz w:val="20"/>
          <w:szCs w:val="20"/>
          <w:lang w:val="es-ES_tradnl"/>
        </w:rPr>
        <w:t>de Transparencia, experto e independiente.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 xml:space="preserve">8000924-28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s-ES_tradnl"/>
        </w:rPr>
        <w:t xml:space="preserve">Para aumentar las exigencias de transparencia para las entidades privadas que perciban ayudas o subvenciones del Ayuntamiento de Madrid, en los art.17, 18, 19, 21 y 22, y que 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stas puedan recibir sol</w:t>
      </w:r>
      <w:r>
        <w:rPr>
          <w:rFonts w:ascii="Verdana" w:hAnsi="Verdana"/>
          <w:sz w:val="20"/>
          <w:szCs w:val="20"/>
          <w:lang w:val="es-ES_tradnl"/>
        </w:rPr>
        <w:t>icitudes de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acuerdo al Derecho de Acceso a la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>n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blica. Lo valoramos positivamente, aunque creemos necesario extender las mismas exigencias tambi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n a todas las entidades receptoras de contratos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 xml:space="preserve">blicos municipales en las mismas </w:t>
      </w:r>
      <w:r>
        <w:rPr>
          <w:rFonts w:ascii="Verdana" w:hAnsi="Verdana"/>
          <w:sz w:val="20"/>
          <w:szCs w:val="20"/>
          <w:lang w:val="es-ES_tradnl"/>
        </w:rPr>
        <w:t>cantidades.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 xml:space="preserve">8000932 y 8000934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s-ES_tradnl"/>
        </w:rPr>
        <w:t>Propone ampliar las exigencias de cumplimiento del Registro de Lobbies tambi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n al personal eventual de los concejales del Ayuntamiento. Lo consideramos positivo.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 xml:space="preserve">8000937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s-ES_tradnl"/>
        </w:rPr>
        <w:t>Esta enmienda propone eximir a los concejales de l</w:t>
      </w:r>
      <w:r>
        <w:rPr>
          <w:rFonts w:ascii="Verdana" w:hAnsi="Verdana"/>
          <w:sz w:val="20"/>
          <w:szCs w:val="20"/>
          <w:lang w:val="es-ES_tradnl"/>
        </w:rPr>
        <w:t>os grupos de la oposici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de tener que publicar sus agendas de trabajo y de reuniones, alegando que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impedir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a a los concejales que no forman parte de equipo de gobierno realizar su labor opositora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  <w:lang w:val="es-ES_tradnl"/>
        </w:rPr>
        <w:t xml:space="preserve">. En absoluto. La transparencia en las agendas de trabajo </w:t>
      </w:r>
      <w:r>
        <w:rPr>
          <w:rFonts w:ascii="Verdana" w:hAnsi="Verdana"/>
          <w:sz w:val="20"/>
          <w:szCs w:val="20"/>
          <w:lang w:val="es-ES_tradnl"/>
        </w:rPr>
        <w:t>y reuniones debe ser una exigencia tanto del equipo de gobierno como de los cargos electos de la oposici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 xml:space="preserve">n.  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sz w:val="20"/>
          <w:szCs w:val="20"/>
          <w:lang w:val="es-ES_tradnl"/>
        </w:rPr>
        <w:t xml:space="preserve">Enmiendas del </w:t>
      </w:r>
      <w:hyperlink r:id="rId13" w:history="1">
        <w:r>
          <w:rPr>
            <w:rFonts w:ascii="Verdana" w:hAnsi="Verdana"/>
            <w:color w:val="0432FF"/>
            <w:sz w:val="20"/>
            <w:szCs w:val="20"/>
            <w:u w:val="single"/>
            <w:lang w:val="pt-PT"/>
          </w:rPr>
          <w:t>Grupo Municipal Socialista de Madrid</w:t>
        </w:r>
      </w:hyperlink>
      <w:r>
        <w:rPr>
          <w:rStyle w:val="Ninguno"/>
          <w:rFonts w:ascii="Verdana" w:hAnsi="Verdana"/>
          <w:sz w:val="20"/>
          <w:szCs w:val="20"/>
        </w:rPr>
        <w:t>: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>8000856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s-ES_tradnl"/>
        </w:rPr>
        <w:t>Propone</w:t>
      </w:r>
      <w:r>
        <w:rPr>
          <w:rFonts w:ascii="Verdana" w:hAnsi="Verdana"/>
          <w:sz w:val="20"/>
          <w:szCs w:val="20"/>
          <w:lang w:val="es-ES_tradnl"/>
        </w:rPr>
        <w:t xml:space="preserve"> modificar la definici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de lobby para incluir 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 xml:space="preserve">nicamente a quienes realizan esta actividad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  <w:lang w:val="es-ES_tradnl"/>
        </w:rPr>
        <w:t>de forma habitual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  <w:lang w:val="es-ES_tradnl"/>
        </w:rPr>
        <w:t>. Es un matiz mal orientado. Un grupo de inter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s puede crearse ad hoc para defender un inter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s puntual o tratar de influir en una pol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tica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it-IT"/>
        </w:rPr>
        <w:t>blic</w:t>
      </w:r>
      <w:r>
        <w:rPr>
          <w:rFonts w:ascii="Verdana" w:hAnsi="Verdana"/>
          <w:sz w:val="20"/>
          <w:szCs w:val="20"/>
          <w:lang w:val="it-IT"/>
        </w:rPr>
        <w:t xml:space="preserve">a concreta una 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nica vez. Por eso recomendamos dejar fuera de la ordenanza esta modificaci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que propone el Grupo Socialista.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>De nuevo, en relaci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al Registro de Lobbies, consideramos muy negativa la enmienda transaccional de este mismo expediente (80008</w:t>
      </w:r>
      <w:r>
        <w:rPr>
          <w:rFonts w:ascii="Verdana" w:hAnsi="Verdana"/>
          <w:sz w:val="20"/>
          <w:szCs w:val="20"/>
          <w:lang w:val="es-ES_tradnl"/>
        </w:rPr>
        <w:t xml:space="preserve">56), por la que el Grupo Socialista propone que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  <w:lang w:val="es-ES_tradnl"/>
        </w:rPr>
        <w:t>las asociaciones inscritas en el Registro de Entidades Ciudadanas del Ayuntamiento de Madrid</w:t>
      </w:r>
      <w:r>
        <w:rPr>
          <w:rFonts w:ascii="Verdana" w:hAnsi="Verdana"/>
          <w:sz w:val="20"/>
          <w:szCs w:val="20"/>
        </w:rPr>
        <w:t xml:space="preserve">” </w:t>
      </w:r>
      <w:r>
        <w:rPr>
          <w:rFonts w:ascii="Verdana" w:hAnsi="Verdana"/>
          <w:sz w:val="20"/>
          <w:szCs w:val="20"/>
          <w:lang w:val="es-ES_tradnl"/>
        </w:rPr>
        <w:t xml:space="preserve">puedan mantener reuniones con concejales y titulares de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rganos directivos con el objetivo de hacer valer su inte</w:t>
      </w:r>
      <w:r>
        <w:rPr>
          <w:rFonts w:ascii="Verdana" w:hAnsi="Verdana"/>
          <w:sz w:val="20"/>
          <w:szCs w:val="20"/>
          <w:lang w:val="es-ES_tradnl"/>
        </w:rPr>
        <w:t>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s en las pol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pt-PT"/>
        </w:rPr>
        <w:t>ticas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pt-PT"/>
        </w:rPr>
        <w:t xml:space="preserve">blicas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  <w:lang w:val="es-ES_tradnl"/>
        </w:rPr>
        <w:t>sin necesidad de inscribirse en el Registro de Lobbies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  <w:lang w:val="es-ES_tradnl"/>
        </w:rPr>
        <w:t>. Las asociaciones, como cualquier organizaci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o individuo, independientemente de su estatuto jur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dico, act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an como grupo de inter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 xml:space="preserve">s cuando solicitan reuniones con </w:t>
      </w:r>
      <w:r>
        <w:rPr>
          <w:rFonts w:ascii="Verdana" w:hAnsi="Verdana"/>
          <w:sz w:val="20"/>
          <w:szCs w:val="20"/>
          <w:lang w:val="es-ES_tradnl"/>
        </w:rPr>
        <w:t>cargos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blicos para, en inter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s propio o ajeno, influir en la formulaci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o la aplicaci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nl-NL"/>
        </w:rPr>
        <w:t>n de pol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ticas y en los procesos de toma de decisiones de las instituciones. El prop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sito de un Registro de Lobbies es aportar transparencia sobre las actividades de e</w:t>
      </w:r>
      <w:r>
        <w:rPr>
          <w:rFonts w:ascii="Verdana" w:hAnsi="Verdana"/>
          <w:sz w:val="20"/>
          <w:szCs w:val="20"/>
          <w:lang w:val="es-ES_tradnl"/>
        </w:rPr>
        <w:t xml:space="preserve">sta naturaleza, casi siempre fuera del 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>escrutinio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blico. Las asociaciones no pueden ser una excepci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n, aunque figuren paralelamente en un registro de otra naturaleza (Entidades Ciudadanas).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 xml:space="preserve">Transaccional 8000859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s-ES_tradnl"/>
        </w:rPr>
        <w:t xml:space="preserve">Esta enmienda propone que el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rgano </w:t>
      </w:r>
      <w:r>
        <w:rPr>
          <w:rFonts w:ascii="Verdana" w:hAnsi="Verdana"/>
          <w:sz w:val="20"/>
          <w:szCs w:val="20"/>
          <w:lang w:val="es-ES_tradnl"/>
        </w:rPr>
        <w:t xml:space="preserve">responsable del seguimiento en el cumplimiento de los deberes en materia de transparencia (art.8) y de las medidas a adoptar en caso de incumplimiento (art.40) sea </w:t>
      </w:r>
      <w:r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el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rgano competente en materia de fraude y lucha contra la corrupci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  <w:lang w:val="es-ES_tradnl"/>
        </w:rPr>
        <w:t>. Se trata de un err</w:t>
      </w:r>
      <w:r>
        <w:rPr>
          <w:rFonts w:ascii="Verdana" w:hAnsi="Verdana"/>
          <w:sz w:val="20"/>
          <w:szCs w:val="20"/>
          <w:lang w:val="es-ES_tradnl"/>
        </w:rPr>
        <w:t>or persistente mezclar en la regulaci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la transparencia de la gesti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>n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 las particularidades de la lucha anticorrupci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n. El 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it-IT"/>
        </w:rPr>
        <w:t xml:space="preserve">nico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rgano que debe velar -con experiencia, independencia y medios suficientes- por el seguimiento de las obligaciones d</w:t>
      </w:r>
      <w:r>
        <w:rPr>
          <w:rFonts w:ascii="Verdana" w:hAnsi="Verdana"/>
          <w:sz w:val="20"/>
          <w:szCs w:val="20"/>
          <w:lang w:val="es-ES_tradnl"/>
        </w:rPr>
        <w:t>e transparencia, y vigilar su cumplimiento, es el Comisionado de Transparencia.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sz w:val="20"/>
          <w:szCs w:val="20"/>
          <w:lang w:val="es-ES_tradnl"/>
        </w:rPr>
        <w:t xml:space="preserve">Enmiendas del </w:t>
      </w:r>
      <w:hyperlink r:id="rId14" w:history="1">
        <w:r>
          <w:rPr>
            <w:rFonts w:ascii="Verdana" w:hAnsi="Verdana"/>
            <w:color w:val="0432FF"/>
            <w:sz w:val="20"/>
            <w:szCs w:val="20"/>
            <w:u w:val="single"/>
            <w:lang w:val="es-ES_tradnl"/>
          </w:rPr>
          <w:t xml:space="preserve">Grupo Municipal Ciudadanos </w:t>
        </w:r>
        <w:r>
          <w:rPr>
            <w:rFonts w:ascii="Verdana" w:hAnsi="Verdana"/>
            <w:color w:val="0432FF"/>
            <w:sz w:val="20"/>
            <w:szCs w:val="20"/>
            <w:u w:val="single"/>
          </w:rPr>
          <w:t xml:space="preserve">– </w:t>
        </w:r>
        <w:r>
          <w:rPr>
            <w:rFonts w:ascii="Verdana" w:hAnsi="Verdana"/>
            <w:color w:val="0432FF"/>
            <w:sz w:val="20"/>
            <w:szCs w:val="20"/>
            <w:u w:val="single"/>
            <w:lang w:val="es-ES_tradnl"/>
          </w:rPr>
          <w:t>Partido de la Ciudadan</w:t>
        </w:r>
        <w:r>
          <w:rPr>
            <w:rFonts w:ascii="Verdana" w:hAnsi="Verdana"/>
            <w:color w:val="0432FF"/>
            <w:sz w:val="20"/>
            <w:szCs w:val="20"/>
            <w:u w:val="single"/>
          </w:rPr>
          <w:t>í</w:t>
        </w:r>
        <w:r>
          <w:rPr>
            <w:rFonts w:ascii="Verdana" w:hAnsi="Verdana"/>
            <w:color w:val="0432FF"/>
            <w:sz w:val="20"/>
            <w:szCs w:val="20"/>
            <w:u w:val="single"/>
          </w:rPr>
          <w:t>a</w:t>
        </w:r>
      </w:hyperlink>
      <w:r>
        <w:rPr>
          <w:rStyle w:val="Ninguno"/>
          <w:rFonts w:ascii="Verdana" w:hAnsi="Verdana"/>
          <w:sz w:val="20"/>
          <w:szCs w:val="20"/>
        </w:rPr>
        <w:t>: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 xml:space="preserve">8000954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it-IT"/>
        </w:rPr>
        <w:t>Propone la creaci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anual de un registro de </w:t>
      </w:r>
      <w:r>
        <w:rPr>
          <w:rFonts w:ascii="Verdana" w:hAnsi="Verdana"/>
          <w:sz w:val="20"/>
          <w:szCs w:val="20"/>
          <w:lang w:val="es-ES_tradnl"/>
        </w:rPr>
        <w:t>las entidades que tengan obligaciones de publicidad activa por ser receptoras de subvenciones. Lo consideramos positivo, y vamos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>s all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: creemos que debe hacer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 xml:space="preserve">blica la lista completas de todos los sujetos obligados por esta ordenanza, sin discriminar </w:t>
      </w:r>
      <w:r>
        <w:rPr>
          <w:rFonts w:ascii="Verdana" w:hAnsi="Verdana"/>
          <w:sz w:val="20"/>
          <w:szCs w:val="20"/>
          <w:lang w:val="es-ES_tradnl"/>
        </w:rPr>
        <w:t>por su naturaleza. Adem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s, proponemos que se ampl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e no solo a receptores de subvenciones, sino a todos los prestadores de servicios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blicos b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sicos y receptores de contratos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 xml:space="preserve">blicos del Ayuntamiento y de sus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pt-PT"/>
        </w:rPr>
        <w:t>rganos aut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nomos.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 xml:space="preserve">8000963 </w:t>
      </w:r>
      <w:r>
        <w:rPr>
          <w:rFonts w:ascii="Verdana" w:hAnsi="Verdana"/>
          <w:sz w:val="20"/>
          <w:szCs w:val="20"/>
        </w:rPr>
        <w:t xml:space="preserve">–  </w:t>
      </w:r>
      <w:r>
        <w:rPr>
          <w:rFonts w:ascii="Verdana" w:hAnsi="Verdana"/>
          <w:sz w:val="20"/>
          <w:szCs w:val="20"/>
          <w:lang w:val="es-ES_tradnl"/>
        </w:rPr>
        <w:t xml:space="preserve">Insta a </w:t>
      </w:r>
      <w:r>
        <w:rPr>
          <w:rFonts w:ascii="Verdana" w:hAnsi="Verdana"/>
          <w:sz w:val="20"/>
          <w:szCs w:val="20"/>
          <w:lang w:val="es-ES_tradnl"/>
        </w:rPr>
        <w:t>eliminar el punto 2 del art.18 de forma que, cuando se solicite acceso a un expediente finalizado, y tras considerar que no est</w:t>
      </w:r>
      <w:r>
        <w:rPr>
          <w:rFonts w:ascii="Verdana" w:hAnsi="Verdana"/>
          <w:sz w:val="20"/>
          <w:szCs w:val="20"/>
        </w:rPr>
        <w:t xml:space="preserve">á </w:t>
      </w:r>
      <w:r>
        <w:rPr>
          <w:rFonts w:ascii="Verdana" w:hAnsi="Verdana"/>
          <w:sz w:val="20"/>
          <w:szCs w:val="20"/>
          <w:lang w:val="es-ES_tradnl"/>
        </w:rPr>
        <w:t>sometido a ninguno de los l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mites establecidos, prevalezca el derecho de acceso a la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sobre la obligaci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acredit</w:t>
      </w:r>
      <w:r>
        <w:rPr>
          <w:rFonts w:ascii="Verdana" w:hAnsi="Verdana"/>
          <w:sz w:val="20"/>
          <w:szCs w:val="20"/>
          <w:lang w:val="es-ES_tradnl"/>
        </w:rPr>
        <w:t>ar la condici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interesado. Una garant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>a que consideramos apropiada.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</w:rPr>
        <w:t xml:space="preserve">8000964 </w:t>
      </w:r>
      <w:r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  <w:lang w:val="es-ES_tradnl"/>
        </w:rPr>
        <w:t>Esta enmienda propone que la respuesta a solicitudes de acceso 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en manos de fundaciones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blicas, sociedades mercantiles y consorcios de participa</w:t>
      </w:r>
      <w:r>
        <w:rPr>
          <w:rFonts w:ascii="Verdana" w:hAnsi="Verdana"/>
          <w:sz w:val="20"/>
          <w:szCs w:val="20"/>
          <w:lang w:val="es-ES_tradnl"/>
        </w:rPr>
        <w:t>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 xml:space="preserve">n municipal mayoritaria sea competencia del 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rgano municipal al que est</w:t>
      </w:r>
      <w:r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  <w:lang w:val="es-ES_tradnl"/>
        </w:rPr>
        <w:t>n adscritos. Por el contrario, preferimos que estas entidades sean directamente competentes por ser poseedoras directas de la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pt-PT"/>
        </w:rPr>
        <w:t xml:space="preserve">n solicitada. 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501E35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s-ES_tradnl"/>
        </w:rPr>
        <w:t xml:space="preserve">Principales aspectos </w:t>
      </w:r>
      <w:r>
        <w:rPr>
          <w:rFonts w:ascii="Verdana" w:hAnsi="Verdana"/>
          <w:b/>
          <w:bCs/>
          <w:sz w:val="20"/>
          <w:szCs w:val="20"/>
          <w:lang w:val="es-ES_tradnl"/>
        </w:rPr>
        <w:t>mejorables de la ordenanza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Tanto </w:t>
      </w:r>
      <w:hyperlink r:id="rId15" w:history="1">
        <w:r>
          <w:rPr>
            <w:rStyle w:val="Hyperlink0"/>
            <w:rFonts w:ascii="Verdana" w:hAnsi="Verdana"/>
            <w:sz w:val="20"/>
            <w:szCs w:val="20"/>
            <w:lang w:val="en-US"/>
          </w:rPr>
          <w:t>Access Info Europe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 como la </w:t>
      </w:r>
      <w:hyperlink r:id="rId16" w:history="1">
        <w:r>
          <w:rPr>
            <w:rStyle w:val="Hyperlink0"/>
            <w:rFonts w:ascii="Verdana" w:hAnsi="Verdana"/>
            <w:sz w:val="20"/>
            <w:szCs w:val="20"/>
            <w:lang w:val="es-ES_tradnl"/>
          </w:rPr>
          <w:t>Fundaci</w:t>
        </w:r>
        <w:r>
          <w:rPr>
            <w:rStyle w:val="Hyperlink0"/>
            <w:rFonts w:ascii="Verdana" w:hAnsi="Verdana"/>
            <w:sz w:val="20"/>
            <w:szCs w:val="20"/>
          </w:rPr>
          <w:t>ó</w:t>
        </w:r>
        <w:r>
          <w:rPr>
            <w:rStyle w:val="Hyperlink0"/>
            <w:rFonts w:ascii="Verdana" w:hAnsi="Verdana"/>
            <w:sz w:val="20"/>
            <w:szCs w:val="20"/>
          </w:rPr>
          <w:t>n Civio</w:t>
        </w:r>
      </w:hyperlink>
      <w:r>
        <w:rPr>
          <w:rFonts w:ascii="Verdana" w:hAnsi="Verdana"/>
          <w:sz w:val="20"/>
          <w:szCs w:val="20"/>
          <w:lang w:val="es-ES_tradnl"/>
        </w:rPr>
        <w:t xml:space="preserve"> hemos participado en los trabajos preparatorios de esta ordenanza sobre su borrador inicial. Nuestras aportaciones al mismo son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blicas y se pueden consultar (</w:t>
      </w:r>
      <w:r>
        <w:rPr>
          <w:rStyle w:val="Hyperlink0"/>
          <w:rFonts w:ascii="Verdana" w:hAnsi="Verdana"/>
          <w:sz w:val="20"/>
          <w:szCs w:val="20"/>
          <w:lang w:val="es-ES_tradnl"/>
        </w:rPr>
        <w:t>aqu</w:t>
      </w:r>
      <w:r>
        <w:rPr>
          <w:rStyle w:val="Hyperlink0"/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  <w:lang w:val="es-ES_tradnl"/>
        </w:rPr>
        <w:t xml:space="preserve"> y </w:t>
      </w:r>
      <w:hyperlink r:id="rId17" w:history="1">
        <w:r>
          <w:rPr>
            <w:rStyle w:val="Hyperlink0"/>
            <w:rFonts w:ascii="Verdana" w:hAnsi="Verdana"/>
            <w:sz w:val="20"/>
            <w:szCs w:val="20"/>
            <w:lang w:val="es-ES_tradnl"/>
          </w:rPr>
          <w:t>aqu</w:t>
        </w:r>
        <w:r>
          <w:rPr>
            <w:rStyle w:val="Hyperlink0"/>
            <w:rFonts w:ascii="Verdana" w:hAnsi="Verdana"/>
            <w:sz w:val="20"/>
            <w:szCs w:val="20"/>
          </w:rPr>
          <w:t>í</w:t>
        </w:r>
      </w:hyperlink>
      <w:r>
        <w:rPr>
          <w:rFonts w:ascii="Verdana" w:hAnsi="Verdana"/>
          <w:sz w:val="20"/>
          <w:szCs w:val="20"/>
          <w:lang w:val="es-ES_tradnl"/>
        </w:rPr>
        <w:t>). Fruto de esta reflexi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n, consideramos que estos tambi</w:t>
      </w:r>
      <w:r>
        <w:rPr>
          <w:rFonts w:ascii="Verdana" w:hAnsi="Verdana"/>
          <w:sz w:val="20"/>
          <w:szCs w:val="20"/>
          <w:lang w:val="es-ES_tradnl"/>
        </w:rPr>
        <w:t>é</w:t>
      </w:r>
      <w:r>
        <w:rPr>
          <w:rFonts w:ascii="Verdana" w:hAnsi="Verdana"/>
          <w:sz w:val="20"/>
          <w:szCs w:val="20"/>
          <w:lang w:val="es-ES_tradnl"/>
        </w:rPr>
        <w:t>n son mejoras necesarias</w:t>
      </w:r>
      <w:r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  <w:lang w:val="es-ES_tradnl"/>
        </w:rPr>
        <w:t>n este proyecto: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Symbol" w:hAnsi="Symbol"/>
          <w:sz w:val="20"/>
          <w:szCs w:val="20"/>
        </w:rPr>
        <w:t></w:t>
      </w:r>
      <w:r>
        <w:rPr>
          <w:rStyle w:val="Ninguno"/>
          <w:rFonts w:ascii="Symbol" w:hAnsi="Symbol"/>
          <w:sz w:val="20"/>
          <w:szCs w:val="20"/>
        </w:rPr>
        <w:tab/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Plazos semanales de publicaci</w:t>
      </w:r>
      <w:r>
        <w:rPr>
          <w:rStyle w:val="Ninguno"/>
          <w:rFonts w:ascii="Verdana" w:hAnsi="Verdana"/>
          <w:b/>
          <w:bCs/>
          <w:sz w:val="20"/>
          <w:szCs w:val="20"/>
        </w:rPr>
        <w:t>ó</w:t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n y actualizaci</w:t>
      </w:r>
      <w:r>
        <w:rPr>
          <w:rStyle w:val="Ninguno"/>
          <w:rFonts w:ascii="Verdana" w:hAnsi="Verdana"/>
          <w:b/>
          <w:bCs/>
          <w:sz w:val="20"/>
          <w:szCs w:val="20"/>
        </w:rPr>
        <w:t>ó</w:t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n de las agendas de trabajo</w:t>
      </w:r>
      <w:r>
        <w:rPr>
          <w:rFonts w:ascii="Verdana" w:hAnsi="Verdana"/>
          <w:sz w:val="20"/>
          <w:szCs w:val="20"/>
          <w:lang w:val="es-ES_tradnl"/>
        </w:rPr>
        <w:t xml:space="preserve">. Consideramos positivo que el actual texto haya </w:t>
      </w:r>
      <w:r>
        <w:rPr>
          <w:rFonts w:ascii="Verdana" w:hAnsi="Verdana"/>
          <w:sz w:val="20"/>
          <w:szCs w:val="20"/>
          <w:lang w:val="es-ES_tradnl"/>
        </w:rPr>
        <w:t>rebajado el plazo de publicaci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las agendas a dos semanas, sin embargo, el plazo semanal ser</w:t>
      </w:r>
      <w:r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>a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 adecuado para garantizar acceso al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 a la hora de dar seguimiento al debate sobre un asunto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 y poder participar en el mismo.</w:t>
      </w:r>
    </w:p>
    <w:p w:rsidR="00501E35" w:rsidRDefault="00501E35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Symbol" w:hAnsi="Symbol"/>
          <w:sz w:val="20"/>
          <w:szCs w:val="20"/>
        </w:rPr>
        <w:t></w:t>
      </w:r>
      <w:r>
        <w:rPr>
          <w:rStyle w:val="Ninguno"/>
          <w:rFonts w:ascii="Symbol" w:hAnsi="Symbol"/>
          <w:sz w:val="20"/>
          <w:szCs w:val="20"/>
        </w:rPr>
        <w:tab/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Mayor concre</w:t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ci</w:t>
      </w:r>
      <w:r>
        <w:rPr>
          <w:rStyle w:val="Ninguno"/>
          <w:rFonts w:ascii="Verdana" w:hAnsi="Verdana"/>
          <w:b/>
          <w:bCs/>
          <w:sz w:val="20"/>
          <w:szCs w:val="20"/>
        </w:rPr>
        <w:t>ó</w:t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n en la informaci</w:t>
      </w:r>
      <w:r>
        <w:rPr>
          <w:rStyle w:val="Ninguno"/>
          <w:rFonts w:ascii="Verdana" w:hAnsi="Verdana"/>
          <w:b/>
          <w:bCs/>
          <w:sz w:val="20"/>
          <w:szCs w:val="20"/>
        </w:rPr>
        <w:t>ó</w:t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n que debe contener el registro de lobbies.</w:t>
      </w:r>
      <w:r>
        <w:rPr>
          <w:rFonts w:ascii="Verdana" w:hAnsi="Verdana"/>
          <w:sz w:val="20"/>
          <w:szCs w:val="20"/>
          <w:lang w:val="es-ES_tradnl"/>
        </w:rPr>
        <w:t xml:space="preserve"> Incluyendo el presupuesto dedicado a la actividad del lobby, el cargo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pt-PT"/>
        </w:rPr>
        <w:t>blico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 frecuentemente objeto de la actividad de lobby, frecuencia de las reuniones, subvenciones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blicas recibidas.</w:t>
      </w:r>
      <w:r>
        <w:rPr>
          <w:rFonts w:ascii="Verdana" w:hAnsi="Verdana"/>
          <w:sz w:val="20"/>
          <w:szCs w:val="20"/>
          <w:lang w:val="es-ES_tradnl"/>
        </w:rPr>
        <w:t xml:space="preserve"> As</w:t>
      </w:r>
      <w:r>
        <w:rPr>
          <w:rFonts w:ascii="Verdana" w:hAnsi="Verdana"/>
          <w:sz w:val="20"/>
          <w:szCs w:val="20"/>
        </w:rPr>
        <w:t xml:space="preserve">í </w:t>
      </w:r>
      <w:r>
        <w:rPr>
          <w:rFonts w:ascii="Verdana" w:hAnsi="Verdana"/>
          <w:sz w:val="20"/>
          <w:szCs w:val="20"/>
          <w:lang w:val="es-ES_tradnl"/>
        </w:rPr>
        <w:t xml:space="preserve">mismo, debe garantizarse el </w:t>
      </w:r>
    </w:p>
    <w:p w:rsidR="00501E35" w:rsidRDefault="00501E35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</w:p>
    <w:p w:rsidR="00501E35" w:rsidRDefault="00501E35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</w:p>
    <w:p w:rsidR="00501E35" w:rsidRDefault="00501E35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>cruce de los datos de este registro con las agendas de los cargos p</w:t>
      </w:r>
      <w:r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  <w:lang w:val="es-ES_tradnl"/>
        </w:rPr>
        <w:t>blicos para garantizar una mayor compresi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y accesibilidad a la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</w:rPr>
        <w:t>n.</w:t>
      </w:r>
    </w:p>
    <w:p w:rsidR="00501E35" w:rsidRDefault="00501E35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Symbol" w:hAnsi="Symbol"/>
          <w:sz w:val="20"/>
          <w:szCs w:val="20"/>
        </w:rPr>
        <w:t></w:t>
      </w:r>
      <w:r>
        <w:rPr>
          <w:rStyle w:val="Ninguno"/>
          <w:rFonts w:ascii="Symbol" w:hAnsi="Symbol"/>
          <w:sz w:val="20"/>
          <w:szCs w:val="20"/>
        </w:rPr>
        <w:tab/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Establecer la posibilidad de suspender de los derechos del registro</w:t>
      </w:r>
      <w:r>
        <w:rPr>
          <w:rFonts w:ascii="Verdana" w:hAnsi="Verdana"/>
          <w:sz w:val="20"/>
          <w:szCs w:val="20"/>
          <w:lang w:val="es-ES_tradnl"/>
        </w:rPr>
        <w:t xml:space="preserve"> a </w:t>
      </w:r>
      <w:r>
        <w:rPr>
          <w:rFonts w:ascii="Verdana" w:hAnsi="Verdana"/>
          <w:sz w:val="20"/>
          <w:szCs w:val="20"/>
          <w:lang w:val="es-ES_tradnl"/>
        </w:rPr>
        <w:t>aquellos lobbies que de mala fe proporcionen informaci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incorrecta en el mismo.</w:t>
      </w:r>
    </w:p>
    <w:p w:rsidR="00501E35" w:rsidRDefault="00501E35">
      <w:pPr>
        <w:pStyle w:val="Poromisin"/>
        <w:ind w:left="720" w:right="720" w:hanging="36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 w:hanging="360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Symbol" w:hAnsi="Symbol"/>
          <w:sz w:val="20"/>
          <w:szCs w:val="20"/>
        </w:rPr>
        <w:t></w:t>
      </w:r>
      <w:r>
        <w:rPr>
          <w:rStyle w:val="Ninguno"/>
          <w:rFonts w:ascii="Symbol" w:hAnsi="Symbol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El</w:t>
      </w:r>
      <w:r>
        <w:rPr>
          <w:rFonts w:ascii="Verdana" w:hAnsi="Verdana"/>
          <w:b/>
          <w:bCs/>
          <w:sz w:val="20"/>
          <w:szCs w:val="20"/>
          <w:lang w:val="es-ES_tradnl"/>
        </w:rPr>
        <w:t>organismo supervisor y sancionador debe ser independiente</w:t>
      </w:r>
      <w:r>
        <w:rPr>
          <w:rStyle w:val="Ninguno"/>
          <w:rFonts w:ascii="Verdana" w:hAnsi="Verdana"/>
          <w:sz w:val="20"/>
          <w:szCs w:val="20"/>
          <w:lang w:val="es-ES_tradnl"/>
        </w:rPr>
        <w:t xml:space="preserve"> en lugar de la propia Junta de Gobierno.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es-ES_tradnl"/>
        </w:rPr>
        <w:t xml:space="preserve">Ambas organizaciones deseamos que estas valoraciones pormenorizadas </w:t>
      </w:r>
      <w:r>
        <w:rPr>
          <w:rFonts w:ascii="Verdana" w:hAnsi="Verdana"/>
          <w:sz w:val="20"/>
          <w:szCs w:val="20"/>
          <w:lang w:val="es-ES_tradnl"/>
        </w:rPr>
        <w:t>contribuyan a mejorar algunos aspectos de este proyecto normativo. Desde Access Info Europe y la Fundaci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Civio nos ponemos una vez 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 a disposici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del equipo municipal y de todos los grupos representados en el Ayuntamiento de Madrid para ayudar en la m</w:t>
      </w:r>
      <w:r>
        <w:rPr>
          <w:rFonts w:ascii="Verdana" w:hAnsi="Verdana"/>
          <w:sz w:val="20"/>
          <w:szCs w:val="20"/>
          <w:lang w:val="es-ES_tradnl"/>
        </w:rPr>
        <w:t>edida de nuestras posibilidades a que los madrile</w:t>
      </w:r>
      <w:r>
        <w:rPr>
          <w:rFonts w:ascii="Verdana" w:hAnsi="Verdana"/>
          <w:sz w:val="20"/>
          <w:szCs w:val="20"/>
          <w:lang w:val="es-ES_tradnl"/>
        </w:rPr>
        <w:t>ñ</w:t>
      </w:r>
      <w:r>
        <w:rPr>
          <w:rFonts w:ascii="Verdana" w:hAnsi="Verdana"/>
          <w:sz w:val="20"/>
          <w:szCs w:val="20"/>
          <w:lang w:val="es-ES_tradnl"/>
        </w:rPr>
        <w:t>os cuenten con la mejor ordenanza de transparencia posible.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Nota</w:t>
      </w:r>
      <w:r>
        <w:rPr>
          <w:rFonts w:ascii="Verdana" w:hAnsi="Verdana"/>
          <w:sz w:val="20"/>
          <w:szCs w:val="20"/>
          <w:lang w:val="es-ES_tradnl"/>
        </w:rPr>
        <w:t>: Victoria Anderica, una de las responsables de este proyecto de ordenanza municipal, ha trabajado antes de ocupar su puesto actual en el Ayu</w:t>
      </w:r>
      <w:r>
        <w:rPr>
          <w:rFonts w:ascii="Verdana" w:hAnsi="Verdana"/>
          <w:sz w:val="20"/>
          <w:szCs w:val="20"/>
          <w:lang w:val="es-ES_tradnl"/>
        </w:rPr>
        <w:t>ntamiento de Madrid en Access Info Europe. Adem</w:t>
      </w:r>
      <w:r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  <w:lang w:val="es-ES_tradnl"/>
        </w:rPr>
        <w:t>s, la Fundaci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Civio trabaja actualmente en un proyecto de visualizaci</w:t>
      </w:r>
      <w:r>
        <w:rPr>
          <w:rFonts w:ascii="Verdana" w:hAnsi="Verdana"/>
          <w:sz w:val="20"/>
          <w:szCs w:val="20"/>
        </w:rPr>
        <w:t>ó</w:t>
      </w:r>
      <w:r>
        <w:rPr>
          <w:rFonts w:ascii="Verdana" w:hAnsi="Verdana"/>
          <w:sz w:val="20"/>
          <w:szCs w:val="20"/>
          <w:lang w:val="es-ES_tradnl"/>
        </w:rPr>
        <w:t>n de los presupuestos para el Ayuntamiento de Madrid. Ninguno de estos dos factores ha influido a la hora de valorar tanto la propia ord</w:t>
      </w:r>
      <w:r>
        <w:rPr>
          <w:rFonts w:ascii="Verdana" w:hAnsi="Verdana"/>
          <w:sz w:val="20"/>
          <w:szCs w:val="20"/>
          <w:lang w:val="es-ES_tradnl"/>
        </w:rPr>
        <w:t>enanza como las diferentes enmiendas de los grupos.</w:t>
      </w:r>
    </w:p>
    <w:p w:rsidR="00501E35" w:rsidRDefault="00501E35">
      <w:pPr>
        <w:pStyle w:val="Poromisin"/>
        <w:ind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right="72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b/>
          <w:bCs/>
          <w:sz w:val="20"/>
          <w:szCs w:val="20"/>
        </w:rPr>
        <w:t>á</w:t>
      </w:r>
      <w:r>
        <w:rPr>
          <w:rFonts w:ascii="Verdana" w:hAnsi="Verdana"/>
          <w:b/>
          <w:bCs/>
          <w:sz w:val="20"/>
          <w:szCs w:val="20"/>
          <w:lang w:val="es-ES_tradnl"/>
        </w:rPr>
        <w:t>s informaci</w:t>
      </w:r>
      <w:r>
        <w:rPr>
          <w:rFonts w:ascii="Verdana" w:hAnsi="Verdana"/>
          <w:b/>
          <w:bCs/>
          <w:sz w:val="20"/>
          <w:szCs w:val="20"/>
        </w:rPr>
        <w:t>ó</w:t>
      </w:r>
      <w:r>
        <w:rPr>
          <w:rFonts w:ascii="Verdana" w:hAnsi="Verdana"/>
          <w:b/>
          <w:bCs/>
          <w:sz w:val="20"/>
          <w:szCs w:val="20"/>
        </w:rPr>
        <w:t>n: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nl-NL"/>
        </w:rPr>
        <w:t xml:space="preserve">Javier de Vega | </w:t>
      </w:r>
      <w:r>
        <w:rPr>
          <w:rStyle w:val="Ninguno"/>
          <w:rFonts w:ascii="Verdana" w:hAnsi="Verdana"/>
          <w:b/>
          <w:bCs/>
          <w:sz w:val="20"/>
          <w:szCs w:val="20"/>
          <w:lang w:val="es-ES_tradnl"/>
        </w:rPr>
        <w:t>Fundaci</w:t>
      </w:r>
      <w:r>
        <w:rPr>
          <w:rStyle w:val="Ninguno"/>
          <w:rFonts w:ascii="Verdana" w:hAnsi="Verdana"/>
          <w:b/>
          <w:bCs/>
          <w:sz w:val="20"/>
          <w:szCs w:val="20"/>
        </w:rPr>
        <w:t>ó</w:t>
      </w:r>
      <w:r>
        <w:rPr>
          <w:rStyle w:val="Ninguno"/>
          <w:rFonts w:ascii="Verdana" w:hAnsi="Verdana"/>
          <w:b/>
          <w:bCs/>
          <w:sz w:val="20"/>
          <w:szCs w:val="20"/>
        </w:rPr>
        <w:t>n Civio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  <w:hyperlink r:id="rId18" w:history="1">
        <w:r w:rsidR="0019568F">
          <w:rPr>
            <w:rStyle w:val="Hyperlink0"/>
            <w:rFonts w:ascii="Verdana" w:hAnsi="Verdana"/>
            <w:sz w:val="20"/>
            <w:szCs w:val="20"/>
          </w:rPr>
          <w:t>javier@civio.es</w:t>
        </w:r>
      </w:hyperlink>
      <w:r w:rsidR="0019568F">
        <w:rPr>
          <w:rFonts w:ascii="Verdana" w:hAnsi="Verdana"/>
          <w:sz w:val="20"/>
          <w:szCs w:val="20"/>
        </w:rPr>
        <w:t xml:space="preserve"> / +34</w:t>
      </w:r>
      <w:r w:rsidR="0019568F">
        <w:rPr>
          <w:rFonts w:ascii="Verdana" w:hAnsi="Verdana"/>
          <w:sz w:val="20"/>
          <w:szCs w:val="20"/>
        </w:rPr>
        <w:t> </w:t>
      </w:r>
      <w:r w:rsidR="0019568F">
        <w:rPr>
          <w:rFonts w:ascii="Verdana" w:hAnsi="Verdana"/>
          <w:sz w:val="20"/>
          <w:szCs w:val="20"/>
        </w:rPr>
        <w:t>650 074 421</w:t>
      </w:r>
    </w:p>
    <w:p w:rsidR="00501E35" w:rsidRDefault="00501E35">
      <w:pPr>
        <w:pStyle w:val="Poromisin"/>
        <w:ind w:left="720" w:right="720"/>
        <w:rPr>
          <w:rFonts w:ascii="Verdana" w:eastAsia="Verdana" w:hAnsi="Verdana" w:cs="Verdana"/>
          <w:sz w:val="20"/>
          <w:szCs w:val="20"/>
        </w:rPr>
      </w:pPr>
    </w:p>
    <w:p w:rsidR="00501E35" w:rsidRDefault="0019568F">
      <w:pPr>
        <w:pStyle w:val="Poromisin"/>
        <w:ind w:left="720" w:right="720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Style w:val="Ninguno"/>
          <w:rFonts w:ascii="Verdana" w:hAnsi="Verdana"/>
          <w:sz w:val="20"/>
          <w:szCs w:val="20"/>
        </w:rPr>
        <w:t>Alba Guti</w:t>
      </w:r>
      <w:r>
        <w:rPr>
          <w:rStyle w:val="Ninguno"/>
          <w:rFonts w:ascii="Verdana" w:hAnsi="Verdana"/>
          <w:sz w:val="20"/>
          <w:szCs w:val="20"/>
        </w:rPr>
        <w:t>é</w:t>
      </w:r>
      <w:r>
        <w:rPr>
          <w:rStyle w:val="Ninguno"/>
          <w:rFonts w:ascii="Verdana" w:hAnsi="Verdana"/>
          <w:sz w:val="20"/>
          <w:szCs w:val="20"/>
        </w:rPr>
        <w:t xml:space="preserve">rrez | </w:t>
      </w:r>
      <w:r>
        <w:rPr>
          <w:rFonts w:ascii="Verdana" w:hAnsi="Verdana"/>
          <w:b/>
          <w:bCs/>
          <w:sz w:val="20"/>
          <w:szCs w:val="20"/>
          <w:lang w:val="en-US"/>
        </w:rPr>
        <w:t>Access Info Europe</w:t>
      </w:r>
    </w:p>
    <w:p w:rsidR="00501E35" w:rsidRDefault="0019568F">
      <w:pPr>
        <w:pStyle w:val="Poromisin"/>
        <w:ind w:left="720" w:right="720"/>
        <w:rPr>
          <w:rStyle w:val="Ninguno"/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color w:val="0432FF"/>
          <w:sz w:val="20"/>
          <w:szCs w:val="20"/>
          <w:u w:val="single"/>
          <w:lang w:val="it-IT"/>
        </w:rPr>
        <w:t>alba@access-info.org</w:t>
      </w:r>
      <w:r>
        <w:rPr>
          <w:rStyle w:val="Ninguno"/>
          <w:rFonts w:ascii="Verdana" w:hAnsi="Verdana"/>
          <w:sz w:val="20"/>
          <w:szCs w:val="20"/>
        </w:rPr>
        <w:t xml:space="preserve"> / +34</w:t>
      </w:r>
      <w:r>
        <w:rPr>
          <w:rStyle w:val="Ninguno"/>
          <w:rFonts w:ascii="Verdana" w:hAnsi="Verdana"/>
          <w:sz w:val="20"/>
          <w:szCs w:val="20"/>
        </w:rPr>
        <w:t> </w:t>
      </w:r>
      <w:r>
        <w:rPr>
          <w:rStyle w:val="Ninguno"/>
          <w:rFonts w:ascii="Verdana" w:hAnsi="Verdana"/>
          <w:sz w:val="20"/>
          <w:szCs w:val="20"/>
        </w:rPr>
        <w:t>913</w:t>
      </w:r>
      <w:r>
        <w:rPr>
          <w:rStyle w:val="Ninguno"/>
          <w:rFonts w:ascii="Verdana" w:hAnsi="Verdana"/>
          <w:sz w:val="20"/>
          <w:szCs w:val="20"/>
        </w:rPr>
        <w:t> </w:t>
      </w:r>
      <w:r>
        <w:rPr>
          <w:rStyle w:val="Ninguno"/>
          <w:rFonts w:ascii="Verdana" w:hAnsi="Verdana"/>
          <w:sz w:val="20"/>
          <w:szCs w:val="20"/>
        </w:rPr>
        <w:t>656</w:t>
      </w:r>
      <w:r>
        <w:rPr>
          <w:rStyle w:val="Ninguno"/>
          <w:rFonts w:ascii="Verdana" w:hAnsi="Verdana"/>
          <w:sz w:val="20"/>
          <w:szCs w:val="20"/>
        </w:rPr>
        <w:t> </w:t>
      </w:r>
      <w:r>
        <w:rPr>
          <w:rStyle w:val="Ninguno"/>
          <w:rFonts w:ascii="Verdana" w:hAnsi="Verdana"/>
          <w:sz w:val="20"/>
          <w:szCs w:val="20"/>
        </w:rPr>
        <w:t>558</w:t>
      </w:r>
    </w:p>
    <w:sectPr w:rsidR="00501E35" w:rsidSect="00501E35">
      <w:headerReference w:type="default" r:id="rId19"/>
      <w:footerReference w:type="default" r:id="rId2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8F" w:rsidRDefault="0019568F" w:rsidP="00501E35">
      <w:r>
        <w:separator/>
      </w:r>
    </w:p>
  </w:endnote>
  <w:endnote w:type="continuationSeparator" w:id="1">
    <w:p w:rsidR="0019568F" w:rsidRDefault="0019568F" w:rsidP="0050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35" w:rsidRDefault="00501E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8F" w:rsidRDefault="0019568F" w:rsidP="00501E35">
      <w:r>
        <w:separator/>
      </w:r>
    </w:p>
  </w:footnote>
  <w:footnote w:type="continuationSeparator" w:id="1">
    <w:p w:rsidR="0019568F" w:rsidRDefault="0019568F" w:rsidP="00501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35" w:rsidRDefault="0019568F">
    <w:pPr>
      <w:pStyle w:val="Cabeceraypie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>
          <wp:extent cx="864033" cy="55744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33" cy="5574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79339" cy="533597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ndo transparent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339" cy="5335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E35"/>
    <w:rsid w:val="0019568F"/>
    <w:rsid w:val="00501E35"/>
    <w:rsid w:val="0065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LU" w:eastAsia="fr-L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01E35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01E35"/>
    <w:rPr>
      <w:u w:val="single"/>
    </w:rPr>
  </w:style>
  <w:style w:type="table" w:customStyle="1" w:styleId="TableNormal">
    <w:name w:val="Table Normal"/>
    <w:rsid w:val="00501E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501E3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oromisin">
    <w:name w:val="Por omisión"/>
    <w:rsid w:val="00501E35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sid w:val="00501E35"/>
  </w:style>
  <w:style w:type="character" w:customStyle="1" w:styleId="Hyperlink0">
    <w:name w:val="Hyperlink.0"/>
    <w:basedOn w:val="Ninguno"/>
    <w:rsid w:val="00501E35"/>
    <w:rPr>
      <w:color w:val="0432FF"/>
      <w:u w:val="single"/>
    </w:rPr>
  </w:style>
  <w:style w:type="character" w:customStyle="1" w:styleId="Hyperlink1">
    <w:name w:val="Hyperlink.1"/>
    <w:basedOn w:val="Hipervnculo"/>
    <w:rsid w:val="00501E35"/>
  </w:style>
  <w:style w:type="character" w:customStyle="1" w:styleId="Hyperlink2">
    <w:name w:val="Hyperlink.2"/>
    <w:basedOn w:val="Hipervnculo"/>
    <w:rsid w:val="00501E35"/>
  </w:style>
  <w:style w:type="character" w:customStyle="1" w:styleId="Hyperlink3">
    <w:name w:val="Hyperlink.3"/>
    <w:basedOn w:val="Hipervnculo"/>
    <w:rsid w:val="00501E35"/>
  </w:style>
  <w:style w:type="paragraph" w:styleId="Textodeglobo">
    <w:name w:val="Balloon Text"/>
    <w:basedOn w:val="Normal"/>
    <w:link w:val="TextodegloboCar"/>
    <w:uiPriority w:val="99"/>
    <w:semiHidden/>
    <w:unhideWhenUsed/>
    <w:rsid w:val="006558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8B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rid.es/UnidadesDescentralizadas/GobiernoAbierto/OrdenanzaTransparencia/Tramitacion/Ficheros/Enmie" TargetMode="External"/><Relationship Id="rId13" Type="http://schemas.openxmlformats.org/officeDocument/2006/relationships/hyperlink" Target="http://www.madrid.es/UnidadesDescentralizadas/GobiernoAbiert" TargetMode="External"/><Relationship Id="rId18" Type="http://schemas.openxmlformats.org/officeDocument/2006/relationships/hyperlink" Target="mailto:javier@civio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adrid.es/UnidadesDescentralizadas/UDCPleno/Actividad/ComisionesOrdinarias/Corporacion2015-19/PCTGA/2016/2016-06-24/DS_1303_CPCTGA_24_06_16.pdf" TargetMode="External"/><Relationship Id="rId12" Type="http://schemas.openxmlformats.org/officeDocument/2006/relationships/hyperlink" Target="http://www.madrid.es/U" TargetMode="External"/><Relationship Id="rId17" Type="http://schemas.openxmlformats.org/officeDocument/2006/relationships/hyperlink" Target="http://www.madrid.es/UnidadesDescentralizadas/GobiernoAbierto/OrdenanzaTransparencia/Tramitacion/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ivio.e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madrid.es/portales/munimadrid/es/Inicio/El-Ayuntamiento/Gobierno-abierto/Orden" TargetMode="External"/><Relationship Id="rId11" Type="http://schemas.openxmlformats.org/officeDocument/2006/relationships/hyperlink" Target="http://www.access-info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access-in" TargetMode="External"/><Relationship Id="rId10" Type="http://schemas.openxmlformats.org/officeDocument/2006/relationships/hyperlink" Target="http://www.civio.e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drid.es/Un" TargetMode="External"/><Relationship Id="rId14" Type="http://schemas.openxmlformats.org/officeDocument/2006/relationships/hyperlink" Target="http://www.madrid.es/UnidadesDes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1893</Words>
  <Characters>10413</Characters>
  <Application>Microsoft Office Word</Application>
  <DocSecurity>0</DocSecurity>
  <Lines>86</Lines>
  <Paragraphs>24</Paragraphs>
  <ScaleCrop>false</ScaleCrop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Luisa</cp:lastModifiedBy>
  <cp:revision>2</cp:revision>
  <dcterms:created xsi:type="dcterms:W3CDTF">2016-07-19T09:17:00Z</dcterms:created>
  <dcterms:modified xsi:type="dcterms:W3CDTF">2016-07-19T09:17:00Z</dcterms:modified>
</cp:coreProperties>
</file>