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8DD05" w14:textId="77777777" w:rsidR="00D521BB" w:rsidRDefault="00593A7B" w:rsidP="00A6618A">
      <w:pPr>
        <w:pStyle w:val="Heading1"/>
        <w:rPr>
          <w:rStyle w:val="PlainTable41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7B5F1417" wp14:editId="09929DAF">
            <wp:simplePos x="0" y="0"/>
            <wp:positionH relativeFrom="column">
              <wp:posOffset>4789805</wp:posOffset>
            </wp:positionH>
            <wp:positionV relativeFrom="paragraph">
              <wp:posOffset>0</wp:posOffset>
            </wp:positionV>
            <wp:extent cx="1308100" cy="1016000"/>
            <wp:effectExtent l="0" t="0" r="0" b="0"/>
            <wp:wrapThrough wrapText="bothSides">
              <wp:wrapPolygon edited="0">
                <wp:start x="0" y="0"/>
                <wp:lineTo x="0" y="21060"/>
                <wp:lineTo x="20132" y="21060"/>
                <wp:lineTo x="21390" y="21060"/>
                <wp:lineTo x="21390" y="0"/>
                <wp:lineTo x="0" y="0"/>
              </wp:wrapPolygon>
            </wp:wrapThrough>
            <wp:docPr id="2" name="Picture 2" descr="access-info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cess-info_logo_new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3F1A5" w14:textId="77777777" w:rsidR="0078275E" w:rsidRDefault="0078275E" w:rsidP="0078275E">
      <w:pPr>
        <w:rPr>
          <w:lang w:eastAsia="ar-SA"/>
        </w:rPr>
      </w:pPr>
    </w:p>
    <w:p w14:paraId="5C29FED6" w14:textId="77777777" w:rsidR="0078275E" w:rsidRPr="0078275E" w:rsidRDefault="0078275E" w:rsidP="0078275E">
      <w:pPr>
        <w:rPr>
          <w:lang w:eastAsia="ar-SA"/>
        </w:rPr>
      </w:pPr>
    </w:p>
    <w:p w14:paraId="522244E9" w14:textId="77777777" w:rsidR="00593A7B" w:rsidRDefault="00593A7B" w:rsidP="00A6618A">
      <w:pPr>
        <w:pStyle w:val="Heading1"/>
        <w:rPr>
          <w:sz w:val="28"/>
          <w:lang w:val="es-ES"/>
        </w:rPr>
      </w:pPr>
    </w:p>
    <w:p w14:paraId="07BA9170" w14:textId="77777777" w:rsidR="00593A7B" w:rsidRDefault="00593A7B" w:rsidP="00A6618A">
      <w:pPr>
        <w:pStyle w:val="Heading1"/>
        <w:rPr>
          <w:sz w:val="28"/>
          <w:lang w:val="es-ES"/>
        </w:rPr>
      </w:pPr>
    </w:p>
    <w:p w14:paraId="1B6A33A8" w14:textId="77777777" w:rsidR="00A6618A" w:rsidRPr="0060606E" w:rsidRDefault="0060606E" w:rsidP="00A6618A">
      <w:pPr>
        <w:pStyle w:val="Heading1"/>
        <w:rPr>
          <w:sz w:val="36"/>
          <w:lang w:val="es-ES"/>
        </w:rPr>
      </w:pPr>
      <w:r w:rsidRPr="0060606E">
        <w:rPr>
          <w:sz w:val="28"/>
          <w:lang w:val="es-ES"/>
        </w:rPr>
        <w:t>Encuesta: Herramientas para Luchar contra la Corrupción desde las Entidades Locales</w:t>
      </w:r>
    </w:p>
    <w:p w14:paraId="544C6FD3" w14:textId="0131877B" w:rsidR="0060606E" w:rsidRPr="0060606E" w:rsidRDefault="0060606E" w:rsidP="0060606E">
      <w:pPr>
        <w:rPr>
          <w:lang w:val="es-ES" w:eastAsia="ar-SA"/>
        </w:rPr>
      </w:pPr>
      <w:r w:rsidRPr="0060606E">
        <w:rPr>
          <w:lang w:val="es-ES" w:eastAsia="ar-SA"/>
        </w:rPr>
        <w:t xml:space="preserve">Las Entidades Locales se encuentran al frente de la lucha contra la corrupción, y para ello necesitan las herramientas y recursos necesarios. Desde Access Info Europe, junto con la </w:t>
      </w:r>
      <w:hyperlink r:id="rId9" w:history="1">
        <w:r w:rsidRPr="00836B77">
          <w:rPr>
            <w:rStyle w:val="Hyperlink"/>
            <w:lang w:val="es-ES" w:eastAsia="ar-SA"/>
          </w:rPr>
          <w:t>Federación Española de Municipios y Provincias</w:t>
        </w:r>
      </w:hyperlink>
      <w:r w:rsidRPr="0060606E">
        <w:rPr>
          <w:lang w:val="es-ES" w:eastAsia="ar-SA"/>
        </w:rPr>
        <w:t xml:space="preserve"> y la </w:t>
      </w:r>
      <w:hyperlink r:id="rId10" w:history="1">
        <w:r w:rsidRPr="00836B77">
          <w:rPr>
            <w:rStyle w:val="Hyperlink"/>
            <w:lang w:val="es-ES" w:eastAsia="ar-SA"/>
          </w:rPr>
          <w:t>Red de Entidades Locales por la Transparencia y la Participación Ciudadana</w:t>
        </w:r>
      </w:hyperlink>
      <w:r w:rsidRPr="0060606E">
        <w:rPr>
          <w:lang w:val="es-ES" w:eastAsia="ar-SA"/>
        </w:rPr>
        <w:t>, hemos querido identificar, a través de una encuesta, cuáles son las principales necesidades de las entidades locales a la hora de luchar contra la corrupción, y así poder ofrecer la formación y herramientas más adecuadas.</w:t>
      </w:r>
    </w:p>
    <w:p w14:paraId="136AC98C" w14:textId="77777777" w:rsidR="00A6618A" w:rsidRDefault="0060606E" w:rsidP="00CF236C">
      <w:pPr>
        <w:spacing w:after="80"/>
        <w:rPr>
          <w:lang w:val="es-ES" w:eastAsia="ar-SA"/>
        </w:rPr>
      </w:pPr>
      <w:r w:rsidRPr="0060606E">
        <w:rPr>
          <w:lang w:val="es-ES" w:eastAsia="ar-SA"/>
        </w:rPr>
        <w:t xml:space="preserve">En el momento de revisión de </w:t>
      </w:r>
      <w:r>
        <w:rPr>
          <w:lang w:val="es-ES" w:eastAsia="ar-SA"/>
        </w:rPr>
        <w:t>los datos, a 5 de marzo de 2021</w:t>
      </w:r>
      <w:r w:rsidR="00BA5340">
        <w:rPr>
          <w:rStyle w:val="FootnoteReference"/>
          <w:lang w:val="es-ES" w:eastAsia="ar-SA"/>
        </w:rPr>
        <w:footnoteReference w:id="1"/>
      </w:r>
      <w:r w:rsidRPr="0060606E">
        <w:rPr>
          <w:lang w:val="es-ES" w:eastAsia="ar-SA"/>
        </w:rPr>
        <w:t>, habían participado 81 entidades locales de 11 Comunidades Autónomas diferentes:</w:t>
      </w:r>
      <w:r w:rsidR="00A6618A" w:rsidRPr="0060606E">
        <w:rPr>
          <w:lang w:val="es-ES" w:eastAsia="ar-SA"/>
        </w:rPr>
        <w:t xml:space="preserve"> </w:t>
      </w:r>
    </w:p>
    <w:p w14:paraId="02C2B5D0" w14:textId="77777777" w:rsidR="00BA5340" w:rsidRPr="00BA5340" w:rsidRDefault="00CF236C" w:rsidP="00CF236C">
      <w:pPr>
        <w:numPr>
          <w:ilvl w:val="0"/>
          <w:numId w:val="8"/>
        </w:numPr>
        <w:spacing w:after="80"/>
        <w:rPr>
          <w:lang w:val="es-ES" w:eastAsia="ar-SA"/>
        </w:rPr>
      </w:pP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9DFC584" wp14:editId="18A95E54">
            <wp:simplePos x="0" y="0"/>
            <wp:positionH relativeFrom="column">
              <wp:posOffset>2791460</wp:posOffset>
            </wp:positionH>
            <wp:positionV relativeFrom="paragraph">
              <wp:posOffset>156210</wp:posOffset>
            </wp:positionV>
            <wp:extent cx="3128645" cy="23558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 Comunidades.png"/>
                    <pic:cNvPicPr/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645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340" w:rsidRPr="00BA5340">
        <w:rPr>
          <w:lang w:val="es-ES" w:eastAsia="ar-SA"/>
        </w:rPr>
        <w:t>Andalucía</w:t>
      </w:r>
    </w:p>
    <w:p w14:paraId="02C597A6" w14:textId="77777777" w:rsidR="00BA5340" w:rsidRPr="00BA5340" w:rsidRDefault="00BA5340" w:rsidP="00CF236C">
      <w:pPr>
        <w:numPr>
          <w:ilvl w:val="0"/>
          <w:numId w:val="8"/>
        </w:numPr>
        <w:spacing w:after="80"/>
        <w:rPr>
          <w:lang w:val="es-ES" w:eastAsia="ar-SA"/>
        </w:rPr>
      </w:pPr>
      <w:r w:rsidRPr="00BA5340">
        <w:rPr>
          <w:lang w:val="es-ES" w:eastAsia="ar-SA"/>
        </w:rPr>
        <w:t>Asturias</w:t>
      </w:r>
    </w:p>
    <w:p w14:paraId="71577FCA" w14:textId="77777777" w:rsidR="00BA5340" w:rsidRPr="00BA5340" w:rsidRDefault="00BA5340" w:rsidP="00CF236C">
      <w:pPr>
        <w:numPr>
          <w:ilvl w:val="0"/>
          <w:numId w:val="8"/>
        </w:numPr>
        <w:spacing w:after="80"/>
        <w:rPr>
          <w:lang w:val="es-ES" w:eastAsia="ar-SA"/>
        </w:rPr>
      </w:pPr>
      <w:r w:rsidRPr="00BA5340">
        <w:rPr>
          <w:lang w:val="es-ES" w:eastAsia="ar-SA"/>
        </w:rPr>
        <w:t>Cantabria</w:t>
      </w:r>
    </w:p>
    <w:p w14:paraId="44CE59F8" w14:textId="77777777" w:rsidR="00BA5340" w:rsidRPr="00BA5340" w:rsidRDefault="00BA5340" w:rsidP="00CF236C">
      <w:pPr>
        <w:numPr>
          <w:ilvl w:val="0"/>
          <w:numId w:val="8"/>
        </w:numPr>
        <w:spacing w:after="80"/>
        <w:rPr>
          <w:lang w:val="es-ES" w:eastAsia="ar-SA"/>
        </w:rPr>
      </w:pPr>
      <w:r w:rsidRPr="00BA5340">
        <w:rPr>
          <w:lang w:val="es-ES" w:eastAsia="ar-SA"/>
        </w:rPr>
        <w:t>Castilla y León</w:t>
      </w:r>
    </w:p>
    <w:p w14:paraId="3B5E5F87" w14:textId="77777777" w:rsidR="00BA5340" w:rsidRPr="00BA5340" w:rsidRDefault="00BA5340" w:rsidP="00CF236C">
      <w:pPr>
        <w:numPr>
          <w:ilvl w:val="0"/>
          <w:numId w:val="8"/>
        </w:numPr>
        <w:spacing w:after="80"/>
        <w:rPr>
          <w:lang w:val="es-ES" w:eastAsia="ar-SA"/>
        </w:rPr>
      </w:pPr>
      <w:r w:rsidRPr="00BA5340">
        <w:rPr>
          <w:lang w:val="es-ES" w:eastAsia="ar-SA"/>
        </w:rPr>
        <w:t>Cataluña</w:t>
      </w:r>
    </w:p>
    <w:p w14:paraId="2E838F1E" w14:textId="77777777" w:rsidR="00BA5340" w:rsidRPr="00BA5340" w:rsidRDefault="00BA5340" w:rsidP="00CF236C">
      <w:pPr>
        <w:numPr>
          <w:ilvl w:val="0"/>
          <w:numId w:val="8"/>
        </w:numPr>
        <w:spacing w:after="80"/>
        <w:rPr>
          <w:lang w:val="es-ES" w:eastAsia="ar-SA"/>
        </w:rPr>
      </w:pPr>
      <w:r w:rsidRPr="00BA5340">
        <w:rPr>
          <w:lang w:val="es-ES" w:eastAsia="ar-SA"/>
        </w:rPr>
        <w:t>Comunidad Valenciana</w:t>
      </w:r>
    </w:p>
    <w:p w14:paraId="081639E9" w14:textId="77777777" w:rsidR="00BA5340" w:rsidRPr="00BA5340" w:rsidRDefault="00BA5340" w:rsidP="00CF236C">
      <w:pPr>
        <w:numPr>
          <w:ilvl w:val="0"/>
          <w:numId w:val="8"/>
        </w:numPr>
        <w:spacing w:after="80"/>
        <w:rPr>
          <w:lang w:val="es-ES" w:eastAsia="ar-SA"/>
        </w:rPr>
      </w:pPr>
      <w:r w:rsidRPr="00BA5340">
        <w:rPr>
          <w:lang w:val="es-ES" w:eastAsia="ar-SA"/>
        </w:rPr>
        <w:t>Galicia</w:t>
      </w:r>
    </w:p>
    <w:p w14:paraId="57B8421C" w14:textId="77777777" w:rsidR="00BA5340" w:rsidRPr="00BA5340" w:rsidRDefault="00BA5340" w:rsidP="00CF236C">
      <w:pPr>
        <w:numPr>
          <w:ilvl w:val="0"/>
          <w:numId w:val="8"/>
        </w:numPr>
        <w:spacing w:after="80"/>
        <w:rPr>
          <w:lang w:val="es-ES" w:eastAsia="ar-SA"/>
        </w:rPr>
      </w:pPr>
      <w:r w:rsidRPr="00BA5340">
        <w:rPr>
          <w:lang w:val="es-ES" w:eastAsia="ar-SA"/>
        </w:rPr>
        <w:t>Madrid</w:t>
      </w:r>
    </w:p>
    <w:p w14:paraId="52CD1B4A" w14:textId="77777777" w:rsidR="00BA5340" w:rsidRPr="00BA5340" w:rsidRDefault="00BA5340" w:rsidP="00CF236C">
      <w:pPr>
        <w:numPr>
          <w:ilvl w:val="0"/>
          <w:numId w:val="8"/>
        </w:numPr>
        <w:spacing w:after="80"/>
        <w:rPr>
          <w:lang w:val="es-ES" w:eastAsia="ar-SA"/>
        </w:rPr>
      </w:pPr>
      <w:r w:rsidRPr="00BA5340">
        <w:rPr>
          <w:lang w:val="es-ES" w:eastAsia="ar-SA"/>
        </w:rPr>
        <w:t>Murcia</w:t>
      </w:r>
    </w:p>
    <w:p w14:paraId="219CCE09" w14:textId="77777777" w:rsidR="00BA5340" w:rsidRPr="00BA5340" w:rsidRDefault="00BA5340" w:rsidP="00CF236C">
      <w:pPr>
        <w:numPr>
          <w:ilvl w:val="0"/>
          <w:numId w:val="8"/>
        </w:numPr>
        <w:spacing w:after="80"/>
        <w:rPr>
          <w:lang w:val="es-ES" w:eastAsia="ar-SA"/>
        </w:rPr>
      </w:pPr>
      <w:r w:rsidRPr="00BA5340">
        <w:rPr>
          <w:lang w:val="es-ES" w:eastAsia="ar-SA"/>
        </w:rPr>
        <w:t>Navarra</w:t>
      </w:r>
    </w:p>
    <w:p w14:paraId="1798F52E" w14:textId="77777777" w:rsidR="00BA5340" w:rsidRDefault="00BA5340" w:rsidP="00BA5340">
      <w:pPr>
        <w:numPr>
          <w:ilvl w:val="0"/>
          <w:numId w:val="8"/>
        </w:numPr>
        <w:rPr>
          <w:lang w:val="es-ES" w:eastAsia="ar-SA"/>
        </w:rPr>
      </w:pPr>
      <w:r w:rsidRPr="00BA5340">
        <w:rPr>
          <w:lang w:val="es-ES" w:eastAsia="ar-SA"/>
        </w:rPr>
        <w:t>País Vasco</w:t>
      </w:r>
    </w:p>
    <w:p w14:paraId="6202AB3E" w14:textId="77777777" w:rsidR="00302C49" w:rsidRDefault="00302C49" w:rsidP="00BA5340">
      <w:pPr>
        <w:rPr>
          <w:lang w:val="es-ES" w:eastAsia="ar-SA"/>
        </w:rPr>
      </w:pPr>
    </w:p>
    <w:p w14:paraId="49EBA5CA" w14:textId="77777777" w:rsidR="00CB4528" w:rsidRDefault="00CB4528" w:rsidP="00BA5340">
      <w:pPr>
        <w:rPr>
          <w:lang w:val="es-ES" w:eastAsia="ar-SA"/>
        </w:rPr>
      </w:pPr>
      <w:r>
        <w:rPr>
          <w:lang w:val="es-ES" w:eastAsia="ar-SA"/>
        </w:rPr>
        <w:t>Gracias al análisis de los resultados, se ha podido comprobar que la principal necesidad de las entidades locales es la formación de sus funcionarios y funcionarias, especialmente en transparencia y en los diversos ámbitos que comprende el Gobierno Abierto. Tanto Access Info como la FEMP pueden ofrecer a las entidades locales la formación necesaria para avanzar en estos ámbitos.</w:t>
      </w:r>
    </w:p>
    <w:p w14:paraId="1B7058F2" w14:textId="37E2948F" w:rsidR="0099684E" w:rsidRDefault="00BA5340" w:rsidP="00BA5340">
      <w:pPr>
        <w:rPr>
          <w:lang w:val="es-ES" w:eastAsia="ar-SA"/>
        </w:rPr>
      </w:pPr>
      <w:r w:rsidRPr="00BA5340">
        <w:rPr>
          <w:lang w:val="es-ES" w:eastAsia="ar-SA"/>
        </w:rPr>
        <w:t xml:space="preserve">A continuación, se presentan las principales conclusiones y resultados obtenidos </w:t>
      </w:r>
      <w:r w:rsidR="00CB4528">
        <w:rPr>
          <w:lang w:val="es-ES" w:eastAsia="ar-SA"/>
        </w:rPr>
        <w:t>a través de la encuesta</w:t>
      </w:r>
      <w:r w:rsidR="0099684E">
        <w:rPr>
          <w:lang w:val="es-ES" w:eastAsia="ar-SA"/>
        </w:rPr>
        <w:t>:</w:t>
      </w:r>
    </w:p>
    <w:p w14:paraId="4010F336" w14:textId="77777777" w:rsidR="008B2C32" w:rsidRPr="006001EE" w:rsidRDefault="0099684E" w:rsidP="0099684E">
      <w:pPr>
        <w:numPr>
          <w:ilvl w:val="0"/>
          <w:numId w:val="9"/>
        </w:numPr>
        <w:rPr>
          <w:b/>
          <w:lang w:val="es-ES" w:eastAsia="ar-SA"/>
        </w:rPr>
      </w:pPr>
      <w:r w:rsidRPr="006001EE">
        <w:rPr>
          <w:b/>
          <w:lang w:val="es-ES" w:eastAsia="ar-SA"/>
        </w:rPr>
        <w:t>Las entidades locales más pequeñas tienen gran interés en las herramientas para luchar contra la corrupción.</w:t>
      </w:r>
    </w:p>
    <w:p w14:paraId="654F3A67" w14:textId="6F62ED38" w:rsidR="00593A7B" w:rsidRDefault="00CB4528" w:rsidP="00FC70D3">
      <w:pPr>
        <w:ind w:left="780"/>
        <w:rPr>
          <w:lang w:val="es-ES" w:eastAsia="ar-SA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776" behindDoc="0" locked="0" layoutInCell="1" allowOverlap="1" wp14:anchorId="7E740DD2" wp14:editId="7468522A">
            <wp:simplePos x="0" y="0"/>
            <wp:positionH relativeFrom="column">
              <wp:posOffset>251460</wp:posOffset>
            </wp:positionH>
            <wp:positionV relativeFrom="paragraph">
              <wp:posOffset>1359535</wp:posOffset>
            </wp:positionV>
            <wp:extent cx="5854700" cy="2944495"/>
            <wp:effectExtent l="0" t="0" r="0" b="825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maño Pueblos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47"/>
                    <a:stretch/>
                  </pic:blipFill>
                  <pic:spPr bwMode="auto">
                    <a:xfrm>
                      <a:off x="0" y="0"/>
                      <a:ext cx="5854700" cy="2944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7D5EAF6" wp14:editId="31E48534">
                <wp:simplePos x="0" y="0"/>
                <wp:positionH relativeFrom="column">
                  <wp:posOffset>283210</wp:posOffset>
                </wp:positionH>
                <wp:positionV relativeFrom="paragraph">
                  <wp:posOffset>4401185</wp:posOffset>
                </wp:positionV>
                <wp:extent cx="6120765" cy="431800"/>
                <wp:effectExtent l="0" t="0" r="0" b="635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1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307120" w14:textId="77777777" w:rsidR="00FC70D3" w:rsidRPr="00635242" w:rsidRDefault="00FC70D3" w:rsidP="00FC70D3">
                            <w:pPr>
                              <w:pStyle w:val="Caption"/>
                              <w:jc w:val="center"/>
                              <w:rPr>
                                <w:color w:val="000000"/>
                                <w:sz w:val="24"/>
                                <w:lang w:val="es-ES" w:eastAsia="ar-SA"/>
                              </w:rPr>
                            </w:pPr>
                            <w:r w:rsidRPr="00FC70D3">
                              <w:rPr>
                                <w:lang w:val="es-ES"/>
                              </w:rPr>
                              <w:t xml:space="preserve">Figure </w:t>
                            </w:r>
                            <w:r>
                              <w:fldChar w:fldCharType="begin"/>
                            </w:r>
                            <w:r w:rsidRPr="00FC70D3">
                              <w:rPr>
                                <w:lang w:val="es-ES"/>
                              </w:rP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Pr="00FC70D3">
                              <w:rPr>
                                <w:noProof/>
                                <w:lang w:val="es-ES"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 w:rsidRPr="00FC70D3">
                              <w:rPr>
                                <w:lang w:val="es-ES"/>
                              </w:rPr>
                              <w:t xml:space="preserve"> Tamaño de los municipios encuestados por nº de habitantes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5EAF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.3pt;margin-top:346.55pt;width:481.95pt;height:34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" stroked="f">
                <v:textbox inset="0,0,0,0">
                  <w:txbxContent>
                    <w:p w14:paraId="3C307120" w14:textId="77777777" w:rsidR="00FC70D3" w:rsidRPr="00635242" w:rsidRDefault="00FC70D3" w:rsidP="00FC70D3">
                      <w:pPr>
                        <w:pStyle w:val="Caption"/>
                        <w:jc w:val="center"/>
                        <w:rPr>
                          <w:color w:val="000000"/>
                          <w:sz w:val="24"/>
                          <w:lang w:val="es-ES" w:eastAsia="ar-SA"/>
                        </w:rPr>
                      </w:pPr>
                      <w:r w:rsidRPr="00FC70D3">
                        <w:rPr>
                          <w:lang w:val="es-ES"/>
                        </w:rPr>
                        <w:t xml:space="preserve">Figure </w:t>
                      </w:r>
                      <w:r>
                        <w:fldChar w:fldCharType="begin"/>
                      </w:r>
                      <w:r w:rsidRPr="00FC70D3">
                        <w:rPr>
                          <w:lang w:val="es-ES"/>
                        </w:rP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Pr="00FC70D3">
                        <w:rPr>
                          <w:noProof/>
                          <w:lang w:val="es-ES"/>
                        </w:rPr>
                        <w:t>1</w:t>
                      </w:r>
                      <w:r>
                        <w:fldChar w:fldCharType="end"/>
                      </w:r>
                      <w:r w:rsidRPr="00FC70D3">
                        <w:rPr>
                          <w:lang w:val="es-ES"/>
                        </w:rPr>
                        <w:t xml:space="preserve"> Tamaño de los municipios encuestados por nº de habitantes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9684E" w:rsidRPr="0099684E">
        <w:rPr>
          <w:lang w:val="es-ES" w:eastAsia="ar-SA"/>
        </w:rPr>
        <w:t>Más de</w:t>
      </w:r>
      <w:r w:rsidR="00CF236C">
        <w:rPr>
          <w:lang w:val="es-ES" w:eastAsia="ar-SA"/>
        </w:rPr>
        <w:t xml:space="preserve"> </w:t>
      </w:r>
      <w:r w:rsidR="0099684E" w:rsidRPr="0099684E">
        <w:rPr>
          <w:lang w:val="es-ES" w:eastAsia="ar-SA"/>
        </w:rPr>
        <w:t>l</w:t>
      </w:r>
      <w:r w:rsidR="00CF236C">
        <w:rPr>
          <w:lang w:val="es-ES" w:eastAsia="ar-SA"/>
        </w:rPr>
        <w:t>a mitad (</w:t>
      </w:r>
      <w:r w:rsidR="0099684E" w:rsidRPr="0099684E">
        <w:rPr>
          <w:lang w:val="es-ES" w:eastAsia="ar-SA"/>
        </w:rPr>
        <w:t>5</w:t>
      </w:r>
      <w:r w:rsidR="00CF236C">
        <w:rPr>
          <w:lang w:val="es-ES" w:eastAsia="ar-SA"/>
        </w:rPr>
        <w:t>5</w:t>
      </w:r>
      <w:r w:rsidR="0099684E" w:rsidRPr="0099684E">
        <w:rPr>
          <w:lang w:val="es-ES" w:eastAsia="ar-SA"/>
        </w:rPr>
        <w:t>%</w:t>
      </w:r>
      <w:r w:rsidR="00CF236C">
        <w:rPr>
          <w:lang w:val="es-ES" w:eastAsia="ar-SA"/>
        </w:rPr>
        <w:t>)</w:t>
      </w:r>
      <w:r w:rsidR="0099684E" w:rsidRPr="0099684E">
        <w:rPr>
          <w:lang w:val="es-ES" w:eastAsia="ar-SA"/>
        </w:rPr>
        <w:t xml:space="preserve"> de los municipios participantes en la encuesta tienen menos de 5.000 habitantes. Esto muestra su gran interés en conocer y obtener mayores recursos y herramientas para hacer frente a la corrupción. Ver también </w:t>
      </w:r>
      <w:hyperlink w:anchor="Comentarios" w:history="1">
        <w:r w:rsidR="0099684E" w:rsidRPr="00E933A7">
          <w:rPr>
            <w:rStyle w:val="Hyperlink"/>
            <w:lang w:val="es-ES" w:eastAsia="ar-SA"/>
          </w:rPr>
          <w:t>Comentarios de las Entidades Locales</w:t>
        </w:r>
      </w:hyperlink>
      <w:r w:rsidR="0099684E" w:rsidRPr="0099684E">
        <w:rPr>
          <w:lang w:val="es-ES" w:eastAsia="ar-SA"/>
        </w:rPr>
        <w:t>.</w:t>
      </w:r>
      <w:r w:rsidR="00CF236C">
        <w:rPr>
          <w:lang w:val="es-ES" w:eastAsia="ar-SA"/>
        </w:rPr>
        <w:t xml:space="preserve"> El resto de los participantes tienen una distribución igualada entre municipios de diferentes tamaños, incluyendo medianos (</w:t>
      </w:r>
      <w:r w:rsidR="00CB6EA8">
        <w:rPr>
          <w:lang w:val="es-ES" w:eastAsia="ar-SA"/>
        </w:rPr>
        <w:t xml:space="preserve">entre </w:t>
      </w:r>
      <w:r w:rsidR="00CF236C">
        <w:rPr>
          <w:lang w:val="es-ES" w:eastAsia="ar-SA"/>
        </w:rPr>
        <w:t>50.000</w:t>
      </w:r>
      <w:r w:rsidR="00CB6EA8">
        <w:rPr>
          <w:lang w:val="es-ES" w:eastAsia="ar-SA"/>
        </w:rPr>
        <w:t xml:space="preserve"> y 500.000 habitantes</w:t>
      </w:r>
      <w:r w:rsidR="00CF236C">
        <w:rPr>
          <w:lang w:val="es-ES" w:eastAsia="ar-SA"/>
        </w:rPr>
        <w:t>) y los más grandes</w:t>
      </w:r>
      <w:r w:rsidR="00CB6EA8">
        <w:rPr>
          <w:lang w:val="es-ES" w:eastAsia="ar-SA"/>
        </w:rPr>
        <w:t xml:space="preserve"> (más de 500.000)</w:t>
      </w:r>
      <w:r w:rsidR="00CF236C">
        <w:rPr>
          <w:lang w:val="es-ES" w:eastAsia="ar-SA"/>
        </w:rPr>
        <w:t xml:space="preserve">. </w:t>
      </w:r>
    </w:p>
    <w:p w14:paraId="2B806ED1" w14:textId="77777777" w:rsidR="00857A50" w:rsidRPr="006001EE" w:rsidRDefault="00857A50" w:rsidP="00857A50">
      <w:pPr>
        <w:numPr>
          <w:ilvl w:val="0"/>
          <w:numId w:val="9"/>
        </w:numPr>
        <w:rPr>
          <w:b/>
          <w:lang w:val="es-ES" w:eastAsia="ar-SA"/>
        </w:rPr>
      </w:pPr>
      <w:r w:rsidRPr="006001EE">
        <w:rPr>
          <w:b/>
          <w:lang w:val="es-ES" w:eastAsia="ar-SA"/>
        </w:rPr>
        <w:t>Los ámbitos de mayor relevancia para luchar contra la corrupción son el Acceso a la Información y la Transparencia, especialmente en materia de Contratación Pública.</w:t>
      </w:r>
    </w:p>
    <w:p w14:paraId="792802E4" w14:textId="77777777" w:rsidR="00857A50" w:rsidRPr="00857A50" w:rsidRDefault="00857A50" w:rsidP="00857A50">
      <w:pPr>
        <w:ind w:left="780"/>
        <w:rPr>
          <w:lang w:val="es-ES" w:eastAsia="ar-SA"/>
        </w:rPr>
      </w:pPr>
      <w:r w:rsidRPr="00857A50">
        <w:rPr>
          <w:lang w:val="es-ES" w:eastAsia="ar-SA"/>
        </w:rPr>
        <w:t>En la encuesta se pedía a los participantes puntuar de menor a mayor la relevancia de distintos ámbitos en la lucha contra la corrupción a nivel local. Los seis ámbitos a puntuar eran: Protección de Alertadores (</w:t>
      </w:r>
      <w:r w:rsidRPr="00857A50">
        <w:rPr>
          <w:i/>
          <w:lang w:val="es-ES" w:eastAsia="ar-SA"/>
        </w:rPr>
        <w:t>Whistleblowers</w:t>
      </w:r>
      <w:r w:rsidRPr="00857A50">
        <w:rPr>
          <w:lang w:val="es-ES" w:eastAsia="ar-SA"/>
        </w:rPr>
        <w:t>), Acceso a la Información Pública, Gobierno Abierto, Rendición de Cuentas de los Cargos Electos, Transparencia en la Contratación</w:t>
      </w:r>
      <w:r>
        <w:rPr>
          <w:lang w:val="es-ES" w:eastAsia="ar-SA"/>
        </w:rPr>
        <w:t xml:space="preserve"> Pública y Análisis de Riesgos.</w:t>
      </w:r>
    </w:p>
    <w:p w14:paraId="0F03E329" w14:textId="5CAD452C" w:rsidR="00593A7B" w:rsidRDefault="00857A50" w:rsidP="00FC70D3">
      <w:pPr>
        <w:ind w:left="780"/>
        <w:rPr>
          <w:lang w:val="es-ES" w:eastAsia="ar-SA"/>
        </w:rPr>
      </w:pPr>
      <w:r w:rsidRPr="00857A50">
        <w:rPr>
          <w:lang w:val="es-ES" w:eastAsia="ar-SA"/>
        </w:rPr>
        <w:t>Los dos ámbitos con mayor puntuación fueron la Transparencia en la Contratación Pública y el Acceso a la Información Pública, ambos con más de un 90%. Por el contrario, el ámbito con menor puntuación fue la Protección de Alertadores, con menos de un 70%.</w:t>
      </w:r>
    </w:p>
    <w:p w14:paraId="7E438358" w14:textId="4B321805" w:rsidR="00CB4528" w:rsidRDefault="00CB4528" w:rsidP="00FC70D3">
      <w:pPr>
        <w:ind w:left="780"/>
        <w:rPr>
          <w:lang w:val="es-ES" w:eastAsia="ar-SA"/>
        </w:rPr>
      </w:pPr>
    </w:p>
    <w:p w14:paraId="6A75376A" w14:textId="06601646" w:rsidR="00CB4528" w:rsidRDefault="00CB4528" w:rsidP="00CB4528">
      <w:pPr>
        <w:rPr>
          <w:b/>
          <w:lang w:val="es-ES" w:eastAsia="ar-SA"/>
        </w:rPr>
      </w:pPr>
    </w:p>
    <w:p w14:paraId="2F431D26" w14:textId="082B21A8" w:rsidR="00CB4528" w:rsidRDefault="00CB4528" w:rsidP="00CB4528">
      <w:pPr>
        <w:rPr>
          <w:b/>
          <w:lang w:val="es-ES" w:eastAsia="ar-SA"/>
        </w:rPr>
      </w:pPr>
    </w:p>
    <w:p w14:paraId="79B6D988" w14:textId="727E3D9B" w:rsidR="00CB4528" w:rsidRDefault="00CB4528" w:rsidP="00CB4528">
      <w:pPr>
        <w:rPr>
          <w:b/>
          <w:lang w:val="es-ES" w:eastAsia="ar-SA"/>
        </w:rPr>
      </w:pPr>
    </w:p>
    <w:p w14:paraId="700E5113" w14:textId="13A0A1DF" w:rsidR="00CB4528" w:rsidRDefault="00CB4528" w:rsidP="00CB4528">
      <w:pPr>
        <w:rPr>
          <w:b/>
          <w:lang w:val="es-ES" w:eastAsia="ar-SA"/>
        </w:rPr>
      </w:pPr>
    </w:p>
    <w:p w14:paraId="146EB5F1" w14:textId="3B24652D" w:rsidR="00CB4528" w:rsidRDefault="00CB4528" w:rsidP="00CB4528">
      <w:pPr>
        <w:rPr>
          <w:b/>
          <w:lang w:val="es-ES" w:eastAsia="ar-SA"/>
        </w:rPr>
      </w:pPr>
    </w:p>
    <w:p w14:paraId="47FE0207" w14:textId="1FD752AE" w:rsidR="00CB4528" w:rsidRDefault="00CB4528" w:rsidP="00CB4528">
      <w:pPr>
        <w:rPr>
          <w:b/>
          <w:lang w:val="es-ES" w:eastAsia="ar-SA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800" behindDoc="0" locked="0" layoutInCell="1" allowOverlap="1" wp14:anchorId="3A8FC5F9" wp14:editId="63AA9E4A">
            <wp:simplePos x="0" y="0"/>
            <wp:positionH relativeFrom="column">
              <wp:posOffset>689610</wp:posOffset>
            </wp:positionH>
            <wp:positionV relativeFrom="paragraph">
              <wp:posOffset>0</wp:posOffset>
            </wp:positionV>
            <wp:extent cx="5067300" cy="2432050"/>
            <wp:effectExtent l="0" t="0" r="0" b="6350"/>
            <wp:wrapTopAndBottom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E58F7" w14:textId="2C403B88" w:rsidR="00857A50" w:rsidRPr="006001EE" w:rsidRDefault="00857A50" w:rsidP="00857A50">
      <w:pPr>
        <w:numPr>
          <w:ilvl w:val="0"/>
          <w:numId w:val="9"/>
        </w:numPr>
        <w:rPr>
          <w:b/>
          <w:lang w:val="es-ES" w:eastAsia="ar-SA"/>
        </w:rPr>
      </w:pPr>
      <w:r w:rsidRPr="006001EE">
        <w:rPr>
          <w:b/>
          <w:lang w:val="es-ES" w:eastAsia="ar-SA"/>
        </w:rPr>
        <w:t>Necesidad de mejora de las entidades locales reside, principalmente, en la Protección de Alertadores, en los Análisis de Riesgos de Corrupción y en Gobierno Abierto.</w:t>
      </w:r>
    </w:p>
    <w:p w14:paraId="4417B0A1" w14:textId="77777777" w:rsidR="00857A50" w:rsidRPr="00857A50" w:rsidRDefault="00857A50" w:rsidP="00857A50">
      <w:pPr>
        <w:ind w:left="780"/>
        <w:rPr>
          <w:lang w:val="es-ES" w:eastAsia="ar-SA"/>
        </w:rPr>
      </w:pPr>
      <w:r w:rsidRPr="00857A50">
        <w:rPr>
          <w:lang w:val="es-ES" w:eastAsia="ar-SA"/>
        </w:rPr>
        <w:t>En la encuesta se pedía a los participantes puntuar de menor a mayor aquellos ámbitos (Protección de Alertadores, Acceso a la Información Pública, Gobierno Abierto, Rendición de Cuentas de los Cargos Electos, Transparencia en la Contratación Pública y Análisis de Riesgos) en los que consideraban que su entidad loc</w:t>
      </w:r>
      <w:r>
        <w:rPr>
          <w:lang w:val="es-ES" w:eastAsia="ar-SA"/>
        </w:rPr>
        <w:t xml:space="preserve">al debía mejorar su actuación. </w:t>
      </w:r>
    </w:p>
    <w:p w14:paraId="5BDFF378" w14:textId="77777777" w:rsidR="00857A50" w:rsidRDefault="002836B9" w:rsidP="00857A50">
      <w:pPr>
        <w:ind w:left="780"/>
        <w:rPr>
          <w:lang w:val="es-ES" w:eastAsia="ar-SA"/>
        </w:rPr>
      </w:pPr>
      <w:r>
        <w:rPr>
          <w:rFonts w:ascii="Verdana" w:hAnsi="Verdana"/>
          <w:noProof/>
          <w:sz w:val="20"/>
          <w:szCs w:val="20"/>
          <w:lang w:val="en-US"/>
        </w:rPr>
        <w:drawing>
          <wp:anchor distT="0" distB="0" distL="114300" distR="114300" simplePos="0" relativeHeight="251661824" behindDoc="0" locked="0" layoutInCell="1" allowOverlap="1" wp14:anchorId="0567EC3F" wp14:editId="7EDEE754">
            <wp:simplePos x="0" y="0"/>
            <wp:positionH relativeFrom="column">
              <wp:posOffset>721360</wp:posOffset>
            </wp:positionH>
            <wp:positionV relativeFrom="paragraph">
              <wp:posOffset>816610</wp:posOffset>
            </wp:positionV>
            <wp:extent cx="5105400" cy="2571750"/>
            <wp:effectExtent l="0" t="0" r="0" b="0"/>
            <wp:wrapTopAndBottom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A50" w:rsidRPr="00857A50">
        <w:rPr>
          <w:lang w:val="es-ES" w:eastAsia="ar-SA"/>
        </w:rPr>
        <w:t>Los dos ámbitos con mayor puntuación, al contrario que la pregunta anterior, fueron la Protección de Alertadores (75.2%) y el Análisis de Riesgos (74.2%). Por el contrario, ahora el ámbito con menor puntuación fue la Transparencia en la Contratación Pública (62.8%).</w:t>
      </w:r>
    </w:p>
    <w:p w14:paraId="398C1A69" w14:textId="77777777" w:rsidR="00593A7B" w:rsidRDefault="00593A7B" w:rsidP="00857A50">
      <w:pPr>
        <w:ind w:left="780"/>
        <w:rPr>
          <w:lang w:val="es-ES" w:eastAsia="ar-SA"/>
        </w:rPr>
      </w:pPr>
    </w:p>
    <w:p w14:paraId="4EDE037D" w14:textId="77777777" w:rsidR="00857A50" w:rsidRPr="006001EE" w:rsidRDefault="00857A50" w:rsidP="00857A50">
      <w:pPr>
        <w:numPr>
          <w:ilvl w:val="0"/>
          <w:numId w:val="9"/>
        </w:numPr>
        <w:rPr>
          <w:b/>
          <w:lang w:val="es-ES" w:eastAsia="ar-SA"/>
        </w:rPr>
      </w:pPr>
      <w:r w:rsidRPr="006001EE">
        <w:rPr>
          <w:b/>
          <w:lang w:val="es-ES" w:eastAsia="ar-SA"/>
        </w:rPr>
        <w:t>El recurso más valorado por las entidades locales es la formación de funcionarios, seguido de herramientas específicas y, por último, guías informativas.</w:t>
      </w:r>
    </w:p>
    <w:p w14:paraId="3638A7FB" w14:textId="77777777" w:rsidR="00857A50" w:rsidRPr="00857A50" w:rsidRDefault="00857A50" w:rsidP="00857A50">
      <w:pPr>
        <w:ind w:left="780"/>
        <w:rPr>
          <w:lang w:val="es-ES" w:eastAsia="ar-SA"/>
        </w:rPr>
      </w:pPr>
      <w:r w:rsidRPr="00857A50">
        <w:rPr>
          <w:lang w:val="es-ES" w:eastAsia="ar-SA"/>
        </w:rPr>
        <w:t xml:space="preserve">En la encuesta se preguntó, ámbito por ámbito, cuál de las herramientas o servicios ofertados consideraban de mayor utilidad para la entidad local. En cada ámbito se ofrecían tres opciones: formación de funcionarios, herramienta específica o guía informativa, a </w:t>
      </w:r>
      <w:r w:rsidRPr="00857A50">
        <w:rPr>
          <w:lang w:val="es-ES" w:eastAsia="ar-SA"/>
        </w:rPr>
        <w:lastRenderedPageBreak/>
        <w:t>excepción del ámbito de Gobierno Abierto donde solo se ofrecían las opciones de formación de f</w:t>
      </w:r>
      <w:r>
        <w:rPr>
          <w:lang w:val="es-ES" w:eastAsia="ar-SA"/>
        </w:rPr>
        <w:t>uncionarios y guía informativa.</w:t>
      </w:r>
    </w:p>
    <w:p w14:paraId="36910C4B" w14:textId="77777777" w:rsidR="00857A50" w:rsidRPr="00857A50" w:rsidRDefault="00857A50" w:rsidP="00857A50">
      <w:pPr>
        <w:ind w:left="780"/>
        <w:rPr>
          <w:lang w:val="es-ES" w:eastAsia="ar-SA"/>
        </w:rPr>
      </w:pPr>
      <w:r w:rsidRPr="00857A50">
        <w:rPr>
          <w:lang w:val="es-ES" w:eastAsia="ar-SA"/>
        </w:rPr>
        <w:t>En los seis ámbitos (Protección de Alertadores, Acceso a la Información Pública, Gobierno Abierto, Rendición de Cuentas de los Cargos Electos, Transparencia en la Contratación Pública y Análisis de Riesgos), el servicio considerado como más útil e</w:t>
      </w:r>
      <w:r>
        <w:rPr>
          <w:lang w:val="es-ES" w:eastAsia="ar-SA"/>
        </w:rPr>
        <w:t>s la formación de funcionarios.</w:t>
      </w:r>
    </w:p>
    <w:p w14:paraId="7591775A" w14:textId="77777777" w:rsidR="00857A50" w:rsidRDefault="00857A50" w:rsidP="00857A50">
      <w:pPr>
        <w:ind w:left="780"/>
        <w:rPr>
          <w:lang w:val="es-ES" w:eastAsia="ar-SA"/>
        </w:rPr>
      </w:pPr>
      <w:r w:rsidRPr="00857A50">
        <w:rPr>
          <w:lang w:val="es-ES" w:eastAsia="ar-SA"/>
        </w:rPr>
        <w:t>La segunda opción más votada en todos los ámbitos fue la herramienta, a excepción de Rendición de Cuentas de los Cargos Electos, donde la Guía se votó en segundo lugar y la herramienta en el último.</w:t>
      </w:r>
    </w:p>
    <w:p w14:paraId="689CBD4A" w14:textId="77777777" w:rsidR="00593A7B" w:rsidRDefault="00593A7B" w:rsidP="00857A50">
      <w:pPr>
        <w:ind w:left="780"/>
        <w:rPr>
          <w:lang w:val="es-ES" w:eastAsia="ar-SA"/>
        </w:rPr>
      </w:pPr>
    </w:p>
    <w:p w14:paraId="6016BAFD" w14:textId="77777777" w:rsidR="002836B9" w:rsidRDefault="002836B9" w:rsidP="002836B9">
      <w:pPr>
        <w:ind w:left="780"/>
        <w:rPr>
          <w:b/>
          <w:lang w:val="es-ES" w:eastAsia="ar-SA"/>
        </w:rPr>
      </w:pPr>
      <w:r>
        <w:rPr>
          <w:rFonts w:ascii="Verdana" w:hAnsi="Verdana"/>
          <w:noProof/>
          <w:sz w:val="20"/>
          <w:szCs w:val="20"/>
          <w:lang w:val="en-US"/>
        </w:rPr>
        <w:drawing>
          <wp:anchor distT="0" distB="0" distL="114300" distR="114300" simplePos="0" relativeHeight="251663872" behindDoc="0" locked="0" layoutInCell="1" allowOverlap="1" wp14:anchorId="485D756E" wp14:editId="446ED6CD">
            <wp:simplePos x="0" y="0"/>
            <wp:positionH relativeFrom="column">
              <wp:posOffset>588010</wp:posOffset>
            </wp:positionH>
            <wp:positionV relativeFrom="paragraph">
              <wp:posOffset>2918460</wp:posOffset>
            </wp:positionV>
            <wp:extent cx="4889500" cy="2705100"/>
            <wp:effectExtent l="0" t="0" r="6350" b="0"/>
            <wp:wrapTopAndBottom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sz w:val="20"/>
          <w:szCs w:val="20"/>
          <w:lang w:val="en-US"/>
        </w:rPr>
        <w:drawing>
          <wp:anchor distT="0" distB="0" distL="114300" distR="114300" simplePos="0" relativeHeight="251662848" behindDoc="0" locked="0" layoutInCell="1" allowOverlap="1" wp14:anchorId="6B334824" wp14:editId="29638CD5">
            <wp:simplePos x="0" y="0"/>
            <wp:positionH relativeFrom="column">
              <wp:posOffset>588010</wp:posOffset>
            </wp:positionH>
            <wp:positionV relativeFrom="paragraph">
              <wp:posOffset>0</wp:posOffset>
            </wp:positionV>
            <wp:extent cx="4889500" cy="2711450"/>
            <wp:effectExtent l="0" t="0" r="6350" b="12700"/>
            <wp:wrapTopAndBottom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CDE3D" w14:textId="24C5C817" w:rsidR="002836B9" w:rsidRDefault="00CB4528" w:rsidP="002836B9">
      <w:pPr>
        <w:ind w:left="780"/>
        <w:rPr>
          <w:b/>
          <w:lang w:val="es-ES" w:eastAsia="ar-SA"/>
        </w:rPr>
      </w:pPr>
      <w:r>
        <w:rPr>
          <w:rFonts w:ascii="Verdana" w:hAnsi="Verdana"/>
          <w:b/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665920" behindDoc="0" locked="0" layoutInCell="1" allowOverlap="1" wp14:anchorId="6B1E95AD" wp14:editId="77331D16">
            <wp:simplePos x="0" y="0"/>
            <wp:positionH relativeFrom="column">
              <wp:posOffset>607060</wp:posOffset>
            </wp:positionH>
            <wp:positionV relativeFrom="paragraph">
              <wp:posOffset>2902585</wp:posOffset>
            </wp:positionV>
            <wp:extent cx="4806950" cy="2444750"/>
            <wp:effectExtent l="0" t="0" r="12700" b="12700"/>
            <wp:wrapTopAndBottom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sz w:val="20"/>
          <w:szCs w:val="20"/>
          <w:lang w:val="en-US"/>
        </w:rPr>
        <w:drawing>
          <wp:anchor distT="0" distB="0" distL="114300" distR="114300" simplePos="0" relativeHeight="251667968" behindDoc="0" locked="0" layoutInCell="1" allowOverlap="1" wp14:anchorId="1853C6AF" wp14:editId="5333B545">
            <wp:simplePos x="0" y="0"/>
            <wp:positionH relativeFrom="column">
              <wp:posOffset>607060</wp:posOffset>
            </wp:positionH>
            <wp:positionV relativeFrom="paragraph">
              <wp:posOffset>5582285</wp:posOffset>
            </wp:positionV>
            <wp:extent cx="4806950" cy="2813050"/>
            <wp:effectExtent l="0" t="0" r="12700" b="6350"/>
            <wp:wrapTopAndBottom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66944" behindDoc="0" locked="0" layoutInCell="1" allowOverlap="1" wp14:anchorId="6D71E697" wp14:editId="3EF1EA1D">
            <wp:simplePos x="0" y="0"/>
            <wp:positionH relativeFrom="column">
              <wp:posOffset>607060</wp:posOffset>
            </wp:positionH>
            <wp:positionV relativeFrom="paragraph">
              <wp:posOffset>0</wp:posOffset>
            </wp:positionV>
            <wp:extent cx="4806950" cy="2692400"/>
            <wp:effectExtent l="0" t="0" r="12700" b="12700"/>
            <wp:wrapTopAndBottom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6C592" w14:textId="375D99D3" w:rsidR="00F021E2" w:rsidRDefault="00F021E2" w:rsidP="00F021E2">
      <w:pPr>
        <w:ind w:left="780"/>
        <w:rPr>
          <w:b/>
          <w:lang w:val="es-ES" w:eastAsia="ar-SA"/>
        </w:rPr>
      </w:pPr>
    </w:p>
    <w:p w14:paraId="71462BCE" w14:textId="26E26B9F" w:rsidR="00F021E2" w:rsidRDefault="00F021E2" w:rsidP="00F021E2">
      <w:pPr>
        <w:rPr>
          <w:b/>
          <w:lang w:val="es-ES" w:eastAsia="ar-SA"/>
        </w:rPr>
      </w:pPr>
    </w:p>
    <w:p w14:paraId="57477F0A" w14:textId="62C97001" w:rsidR="00CB4528" w:rsidRDefault="00CB4528" w:rsidP="00F021E2">
      <w:pPr>
        <w:rPr>
          <w:b/>
          <w:lang w:val="es-ES" w:eastAsia="ar-SA"/>
        </w:rPr>
      </w:pPr>
    </w:p>
    <w:p w14:paraId="64DAC63B" w14:textId="2C39111F" w:rsidR="00CB4528" w:rsidRDefault="00CB4528" w:rsidP="00F021E2">
      <w:pPr>
        <w:rPr>
          <w:b/>
          <w:lang w:val="es-ES" w:eastAsia="ar-SA"/>
        </w:rPr>
      </w:pPr>
      <w:r>
        <w:rPr>
          <w:rFonts w:ascii="Verdana" w:hAnsi="Verdana"/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5C6AAEED" wp14:editId="432B86A5">
            <wp:simplePos x="0" y="0"/>
            <wp:positionH relativeFrom="column">
              <wp:posOffset>803910</wp:posOffset>
            </wp:positionH>
            <wp:positionV relativeFrom="paragraph">
              <wp:posOffset>70485</wp:posOffset>
            </wp:positionV>
            <wp:extent cx="4616450" cy="2616200"/>
            <wp:effectExtent l="0" t="0" r="12700" b="12700"/>
            <wp:wrapTopAndBottom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B7FC3" w14:textId="369C7B75" w:rsidR="00CE220A" w:rsidRPr="006001EE" w:rsidRDefault="00CE220A" w:rsidP="00CE220A">
      <w:pPr>
        <w:numPr>
          <w:ilvl w:val="0"/>
          <w:numId w:val="9"/>
        </w:numPr>
        <w:rPr>
          <w:b/>
          <w:lang w:val="es-ES" w:eastAsia="ar-SA"/>
        </w:rPr>
      </w:pPr>
      <w:r w:rsidRPr="006001EE">
        <w:rPr>
          <w:b/>
          <w:lang w:val="es-ES" w:eastAsia="ar-SA"/>
        </w:rPr>
        <w:t>Las formaciones más relevantes son en materia de Gobierno Abierto, Acceso a la Información Pública y Protección de Alertadores.</w:t>
      </w:r>
    </w:p>
    <w:p w14:paraId="5031347B" w14:textId="6FCAC1F7" w:rsidR="00CE220A" w:rsidRDefault="0063769E" w:rsidP="00EA3D9A">
      <w:pPr>
        <w:ind w:left="780"/>
        <w:rPr>
          <w:lang w:val="es-ES" w:eastAsia="ar-SA"/>
        </w:rPr>
      </w:pPr>
      <w:r>
        <w:rPr>
          <w:rFonts w:ascii="Verdana" w:hAnsi="Verdana"/>
          <w:b/>
          <w:noProof/>
          <w:szCs w:val="20"/>
          <w:lang w:val="en-US"/>
        </w:rPr>
        <w:drawing>
          <wp:anchor distT="0" distB="0" distL="114300" distR="114300" simplePos="0" relativeHeight="251670016" behindDoc="0" locked="0" layoutInCell="1" allowOverlap="1" wp14:anchorId="50EB2BC7" wp14:editId="5FCB0024">
            <wp:simplePos x="0" y="0"/>
            <wp:positionH relativeFrom="column">
              <wp:posOffset>645160</wp:posOffset>
            </wp:positionH>
            <wp:positionV relativeFrom="paragraph">
              <wp:posOffset>911860</wp:posOffset>
            </wp:positionV>
            <wp:extent cx="5111750" cy="2559050"/>
            <wp:effectExtent l="0" t="0" r="12700" b="12700"/>
            <wp:wrapTopAndBottom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D9A" w:rsidRPr="00EA3D9A">
        <w:rPr>
          <w:lang w:val="es-ES" w:eastAsia="ar-SA"/>
        </w:rPr>
        <w:t>Comparando las puntuaciones dadas a la formación d</w:t>
      </w:r>
      <w:r w:rsidR="00EA3D9A">
        <w:rPr>
          <w:lang w:val="es-ES" w:eastAsia="ar-SA"/>
        </w:rPr>
        <w:t xml:space="preserve">e funcionarios en cada ámbito, </w:t>
      </w:r>
      <w:r w:rsidR="00EA3D9A" w:rsidRPr="00EA3D9A">
        <w:rPr>
          <w:lang w:val="es-ES" w:eastAsia="ar-SA"/>
        </w:rPr>
        <w:t>todas contaban con una puntuación mayor al 80%, excepto Rendición de Cuentas de los Cargos Electos (77%). Las mejores puntuadas fueron Gobierno Abierto (88%), Acceso a la Información Pública (87.4%) y Protección de Alertadores (87.2%).</w:t>
      </w:r>
    </w:p>
    <w:p w14:paraId="0AB727F5" w14:textId="76621FDB" w:rsidR="00593A7B" w:rsidRDefault="00593A7B" w:rsidP="00EA3D9A">
      <w:pPr>
        <w:ind w:left="780"/>
        <w:rPr>
          <w:lang w:val="es-ES" w:eastAsia="ar-SA"/>
        </w:rPr>
      </w:pPr>
    </w:p>
    <w:p w14:paraId="2F848A3E" w14:textId="77777777" w:rsidR="00EA3D9A" w:rsidRPr="006001EE" w:rsidRDefault="00EA3D9A" w:rsidP="00EA3D9A">
      <w:pPr>
        <w:numPr>
          <w:ilvl w:val="0"/>
          <w:numId w:val="9"/>
        </w:numPr>
        <w:rPr>
          <w:b/>
          <w:lang w:val="es-ES" w:eastAsia="ar-SA"/>
        </w:rPr>
      </w:pPr>
      <w:r w:rsidRPr="006001EE">
        <w:rPr>
          <w:b/>
          <w:lang w:val="es-ES" w:eastAsia="ar-SA"/>
        </w:rPr>
        <w:t>Las herramientas más relevantes son: Sistema de publicación online de los procesos de contratación pública en formato de datos abiertos (</w:t>
      </w:r>
      <w:r w:rsidRPr="006001EE">
        <w:rPr>
          <w:b/>
          <w:i/>
          <w:lang w:val="es-ES" w:eastAsia="ar-SA"/>
        </w:rPr>
        <w:t>Open Contracting Data Standard</w:t>
      </w:r>
      <w:r w:rsidRPr="006001EE">
        <w:rPr>
          <w:b/>
          <w:lang w:val="es-ES" w:eastAsia="ar-SA"/>
        </w:rPr>
        <w:t>); Plataforma online de denuncias para alertadores; y Herramienta de auto evaluación del sistema interno de Análisis de Riesgos.</w:t>
      </w:r>
    </w:p>
    <w:p w14:paraId="0AB834C2" w14:textId="77777777" w:rsidR="00EA3D9A" w:rsidRDefault="008D4CC0" w:rsidP="00EA3D9A">
      <w:pPr>
        <w:ind w:left="780"/>
        <w:rPr>
          <w:lang w:val="es-ES" w:eastAsia="ar-SA"/>
        </w:rPr>
      </w:pPr>
      <w:r>
        <w:rPr>
          <w:rFonts w:ascii="Verdana" w:hAnsi="Verdana"/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1040" behindDoc="0" locked="0" layoutInCell="1" allowOverlap="1" wp14:anchorId="0B9807DD" wp14:editId="62725D95">
            <wp:simplePos x="0" y="0"/>
            <wp:positionH relativeFrom="column">
              <wp:posOffset>734060</wp:posOffset>
            </wp:positionH>
            <wp:positionV relativeFrom="paragraph">
              <wp:posOffset>812800</wp:posOffset>
            </wp:positionV>
            <wp:extent cx="5099050" cy="2470150"/>
            <wp:effectExtent l="0" t="0" r="6350" b="6350"/>
            <wp:wrapTopAndBottom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D9A" w:rsidRPr="00EA3D9A">
        <w:rPr>
          <w:lang w:val="es-ES" w:eastAsia="ar-SA"/>
        </w:rPr>
        <w:t>De las cinco herramientas ofertadas (no se ofrecía herramienta en Gobierno Abierto), la que mayor puntuación recibió fue la herramienta para la Transparencia en la Contratación Pública (84.2%), y la que menos la de Rendición de Cuentas de los Cargos Electos (68.4%).</w:t>
      </w:r>
    </w:p>
    <w:p w14:paraId="57CCADD9" w14:textId="77777777" w:rsidR="00593A7B" w:rsidRDefault="00593A7B" w:rsidP="00EA3D9A">
      <w:pPr>
        <w:ind w:left="780"/>
        <w:rPr>
          <w:lang w:val="es-ES" w:eastAsia="ar-SA"/>
        </w:rPr>
      </w:pPr>
    </w:p>
    <w:p w14:paraId="62364096" w14:textId="77777777" w:rsidR="000C30F5" w:rsidRPr="006001EE" w:rsidRDefault="000C30F5" w:rsidP="000C30F5">
      <w:pPr>
        <w:numPr>
          <w:ilvl w:val="0"/>
          <w:numId w:val="9"/>
        </w:numPr>
        <w:rPr>
          <w:b/>
          <w:lang w:val="es-ES" w:eastAsia="ar-SA"/>
        </w:rPr>
      </w:pPr>
      <w:r w:rsidRPr="006001EE">
        <w:rPr>
          <w:b/>
          <w:lang w:val="es-ES" w:eastAsia="ar-SA"/>
        </w:rPr>
        <w:t>Las guías más relevantes son: Guía sobre la Transparencia en la Contratación Pública, Guía sobre el Gobierno Abierto, y Guía sobre la Rendición de Cuentas de los Cargos Electos.</w:t>
      </w:r>
    </w:p>
    <w:p w14:paraId="5658A3C4" w14:textId="77777777" w:rsidR="000C30F5" w:rsidRDefault="00800629" w:rsidP="000C30F5">
      <w:pPr>
        <w:ind w:left="780"/>
        <w:rPr>
          <w:lang w:val="es-ES" w:eastAsia="ar-SA"/>
        </w:rPr>
      </w:pPr>
      <w:r>
        <w:rPr>
          <w:rFonts w:ascii="Verdana" w:hAnsi="Verdana"/>
          <w:b/>
          <w:noProof/>
          <w:szCs w:val="20"/>
          <w:lang w:val="en-US"/>
        </w:rPr>
        <w:drawing>
          <wp:anchor distT="0" distB="0" distL="114300" distR="114300" simplePos="0" relativeHeight="251672064" behindDoc="0" locked="0" layoutInCell="1" allowOverlap="1" wp14:anchorId="587D1517" wp14:editId="519EE5C7">
            <wp:simplePos x="0" y="0"/>
            <wp:positionH relativeFrom="column">
              <wp:posOffset>626110</wp:posOffset>
            </wp:positionH>
            <wp:positionV relativeFrom="paragraph">
              <wp:posOffset>772160</wp:posOffset>
            </wp:positionV>
            <wp:extent cx="5118100" cy="2622550"/>
            <wp:effectExtent l="0" t="0" r="6350" b="6350"/>
            <wp:wrapTopAndBottom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0F5" w:rsidRPr="000C30F5">
        <w:rPr>
          <w:lang w:val="es-ES" w:eastAsia="ar-SA"/>
        </w:rPr>
        <w:t>De las seis guías ofertadas, la que mayor puntuación recibió fue la herramienta para la Transparencia en la Contratación Pública (77.8%), y la que menos la de Análisis de Riesgos (69.4%).</w:t>
      </w:r>
    </w:p>
    <w:p w14:paraId="218F77E9" w14:textId="77777777" w:rsidR="00ED3288" w:rsidRDefault="00ED3288" w:rsidP="00ED3288">
      <w:pPr>
        <w:rPr>
          <w:lang w:val="es-ES" w:eastAsia="ar-SA"/>
        </w:rPr>
      </w:pPr>
    </w:p>
    <w:p w14:paraId="5FAD3813" w14:textId="77777777" w:rsidR="00076338" w:rsidRDefault="00076338" w:rsidP="00ED3288">
      <w:pPr>
        <w:rPr>
          <w:b/>
          <w:lang w:val="es-ES" w:eastAsia="ar-SA"/>
        </w:rPr>
      </w:pPr>
      <w:bookmarkStart w:id="0" w:name="Comentarios"/>
    </w:p>
    <w:p w14:paraId="6C2DA55B" w14:textId="77777777" w:rsidR="00076338" w:rsidRDefault="00076338" w:rsidP="00ED3288">
      <w:pPr>
        <w:rPr>
          <w:b/>
          <w:lang w:val="es-ES" w:eastAsia="ar-SA"/>
        </w:rPr>
      </w:pPr>
    </w:p>
    <w:p w14:paraId="4975DAD7" w14:textId="77777777" w:rsidR="00076338" w:rsidRDefault="00076338" w:rsidP="00ED3288">
      <w:pPr>
        <w:rPr>
          <w:b/>
          <w:lang w:val="es-ES" w:eastAsia="ar-SA"/>
        </w:rPr>
      </w:pPr>
    </w:p>
    <w:p w14:paraId="66A23100" w14:textId="77777777" w:rsidR="003351F3" w:rsidRDefault="00ED3288" w:rsidP="00ED3288">
      <w:pPr>
        <w:pStyle w:val="ListParagraph"/>
        <w:numPr>
          <w:ilvl w:val="0"/>
          <w:numId w:val="9"/>
        </w:numPr>
        <w:rPr>
          <w:b/>
          <w:lang w:val="es-ES" w:eastAsia="ar-SA"/>
        </w:rPr>
      </w:pPr>
      <w:r w:rsidRPr="003351F3">
        <w:rPr>
          <w:b/>
          <w:lang w:val="es-ES" w:eastAsia="ar-SA"/>
        </w:rPr>
        <w:lastRenderedPageBreak/>
        <w:t>Comentarios de las Entidades Locales</w:t>
      </w:r>
      <w:bookmarkEnd w:id="0"/>
      <w:r w:rsidRPr="003351F3">
        <w:rPr>
          <w:b/>
          <w:lang w:val="es-ES" w:eastAsia="ar-SA"/>
        </w:rPr>
        <w:t>:</w:t>
      </w:r>
    </w:p>
    <w:p w14:paraId="4C6E00FC" w14:textId="77777777" w:rsidR="003351F3" w:rsidRDefault="003351F3" w:rsidP="003351F3">
      <w:pPr>
        <w:pStyle w:val="ListParagraph"/>
        <w:ind w:left="780"/>
        <w:rPr>
          <w:b/>
          <w:lang w:val="es-ES" w:eastAsia="ar-SA"/>
        </w:rPr>
      </w:pPr>
    </w:p>
    <w:p w14:paraId="042DF9E5" w14:textId="77777777" w:rsidR="003351F3" w:rsidRDefault="00854C3B" w:rsidP="003351F3">
      <w:pPr>
        <w:pStyle w:val="ListParagraph"/>
        <w:ind w:left="780"/>
        <w:rPr>
          <w:lang w:val="es-ES" w:eastAsia="ar-SA"/>
        </w:rPr>
      </w:pPr>
      <w:r w:rsidRPr="003351F3">
        <w:rPr>
          <w:lang w:val="es-ES" w:eastAsia="ar-SA"/>
        </w:rPr>
        <w:t xml:space="preserve">Al final de la encuesta, los participantes dejaron numerosos </w:t>
      </w:r>
      <w:r w:rsidR="00ED3288" w:rsidRPr="003351F3">
        <w:rPr>
          <w:lang w:val="es-ES" w:eastAsia="ar-SA"/>
        </w:rPr>
        <w:t xml:space="preserve">comentarios </w:t>
      </w:r>
      <w:r w:rsidRPr="003351F3">
        <w:rPr>
          <w:lang w:val="es-ES" w:eastAsia="ar-SA"/>
        </w:rPr>
        <w:t>en torno a</w:t>
      </w:r>
      <w:r w:rsidR="00ED3288" w:rsidRPr="003351F3">
        <w:rPr>
          <w:lang w:val="es-ES" w:eastAsia="ar-SA"/>
        </w:rPr>
        <w:t xml:space="preserve"> los ámbitos y herramientas adicionales que consideran relevantes y de utilidad en la lucha contra la corrupción</w:t>
      </w:r>
      <w:r w:rsidRPr="003351F3">
        <w:rPr>
          <w:lang w:val="es-ES" w:eastAsia="ar-SA"/>
        </w:rPr>
        <w:t>. En resumen, la mayoría de los comentarios versaban sobre</w:t>
      </w:r>
      <w:r w:rsidR="00C034C7" w:rsidRPr="003351F3">
        <w:rPr>
          <w:lang w:val="es-ES" w:eastAsia="ar-SA"/>
        </w:rPr>
        <w:t xml:space="preserve"> la necesidad de</w:t>
      </w:r>
      <w:r w:rsidR="00ED3288" w:rsidRPr="003351F3">
        <w:rPr>
          <w:lang w:val="es-ES" w:eastAsia="ar-SA"/>
        </w:rPr>
        <w:t>:</w:t>
      </w:r>
      <w:r w:rsidR="00C034C7" w:rsidRPr="003351F3">
        <w:rPr>
          <w:lang w:val="es-ES" w:eastAsia="ar-SA"/>
        </w:rPr>
        <w:t xml:space="preserve"> </w:t>
      </w:r>
    </w:p>
    <w:p w14:paraId="57E003CC" w14:textId="77777777" w:rsidR="003351F3" w:rsidRDefault="003351F3" w:rsidP="003351F3">
      <w:pPr>
        <w:pStyle w:val="ListParagraph"/>
        <w:ind w:left="780"/>
        <w:rPr>
          <w:lang w:val="es-ES" w:eastAsia="ar-SA"/>
        </w:rPr>
      </w:pPr>
    </w:p>
    <w:p w14:paraId="1C4D76C8" w14:textId="77777777" w:rsidR="003351F3" w:rsidRPr="003351F3" w:rsidRDefault="00854C3B" w:rsidP="003351F3">
      <w:pPr>
        <w:pStyle w:val="ListParagraph"/>
        <w:numPr>
          <w:ilvl w:val="0"/>
          <w:numId w:val="11"/>
        </w:numPr>
        <w:rPr>
          <w:b/>
          <w:lang w:val="es-ES" w:eastAsia="ar-SA"/>
        </w:rPr>
      </w:pPr>
      <w:r>
        <w:rPr>
          <w:lang w:val="es-ES" w:eastAsia="ar-SA"/>
        </w:rPr>
        <w:t>Una mayor transparencia y rendición de cuentas: transparencia en la contratación pública</w:t>
      </w:r>
      <w:r w:rsidR="00C034C7">
        <w:rPr>
          <w:lang w:val="es-ES" w:eastAsia="ar-SA"/>
        </w:rPr>
        <w:t xml:space="preserve"> y en las reuniones con los grupos de interés</w:t>
      </w:r>
      <w:r>
        <w:rPr>
          <w:lang w:val="es-ES" w:eastAsia="ar-SA"/>
        </w:rPr>
        <w:t xml:space="preserve">, </w:t>
      </w:r>
      <w:r w:rsidR="00C034C7">
        <w:rPr>
          <w:lang w:val="es-ES" w:eastAsia="ar-SA"/>
        </w:rPr>
        <w:t xml:space="preserve">y </w:t>
      </w:r>
      <w:r>
        <w:rPr>
          <w:lang w:val="es-ES" w:eastAsia="ar-SA"/>
        </w:rPr>
        <w:t>publicación de agendas.</w:t>
      </w:r>
    </w:p>
    <w:p w14:paraId="208589BA" w14:textId="77777777" w:rsidR="003351F3" w:rsidRPr="003351F3" w:rsidRDefault="003351F3" w:rsidP="003351F3">
      <w:pPr>
        <w:pStyle w:val="ListParagraph"/>
        <w:ind w:left="1500"/>
        <w:rPr>
          <w:b/>
          <w:lang w:val="es-ES" w:eastAsia="ar-SA"/>
        </w:rPr>
      </w:pPr>
    </w:p>
    <w:p w14:paraId="5C4FA4BF" w14:textId="77777777" w:rsidR="003351F3" w:rsidRPr="003351F3" w:rsidRDefault="00C034C7" w:rsidP="003351F3">
      <w:pPr>
        <w:pStyle w:val="ListParagraph"/>
        <w:numPr>
          <w:ilvl w:val="0"/>
          <w:numId w:val="11"/>
        </w:numPr>
        <w:rPr>
          <w:b/>
          <w:lang w:val="es-ES" w:eastAsia="ar-SA"/>
        </w:rPr>
      </w:pPr>
      <w:r w:rsidRPr="003351F3">
        <w:rPr>
          <w:lang w:val="es-ES" w:eastAsia="ar-SA"/>
        </w:rPr>
        <w:t>O</w:t>
      </w:r>
      <w:r w:rsidR="00854C3B" w:rsidRPr="003351F3">
        <w:rPr>
          <w:lang w:val="es-ES" w:eastAsia="ar-SA"/>
        </w:rPr>
        <w:t xml:space="preserve">rganismos de control </w:t>
      </w:r>
      <w:r w:rsidR="00B03871" w:rsidRPr="003351F3">
        <w:rPr>
          <w:lang w:val="es-ES" w:eastAsia="ar-SA"/>
        </w:rPr>
        <w:t xml:space="preserve">independientes </w:t>
      </w:r>
      <w:r w:rsidR="00854C3B" w:rsidRPr="003351F3">
        <w:rPr>
          <w:lang w:val="es-ES" w:eastAsia="ar-SA"/>
        </w:rPr>
        <w:t>con potestad sancionadora</w:t>
      </w:r>
      <w:r w:rsidR="00B03871" w:rsidRPr="003351F3">
        <w:rPr>
          <w:lang w:val="es-ES" w:eastAsia="ar-SA"/>
        </w:rPr>
        <w:t xml:space="preserve"> y que evalúen los niveles de cumplimiento de las normas</w:t>
      </w:r>
      <w:r w:rsidR="00854C3B" w:rsidRPr="003351F3">
        <w:rPr>
          <w:lang w:val="es-ES" w:eastAsia="ar-SA"/>
        </w:rPr>
        <w:t>.</w:t>
      </w:r>
    </w:p>
    <w:p w14:paraId="110EDFB5" w14:textId="77777777" w:rsidR="003351F3" w:rsidRPr="003351F3" w:rsidRDefault="003351F3" w:rsidP="003351F3">
      <w:pPr>
        <w:pStyle w:val="ListParagraph"/>
        <w:rPr>
          <w:lang w:val="es-ES" w:eastAsia="ar-SA"/>
        </w:rPr>
      </w:pPr>
    </w:p>
    <w:p w14:paraId="6E1558CF" w14:textId="77777777" w:rsidR="003351F3" w:rsidRPr="003351F3" w:rsidRDefault="00854C3B" w:rsidP="003351F3">
      <w:pPr>
        <w:pStyle w:val="ListParagraph"/>
        <w:numPr>
          <w:ilvl w:val="0"/>
          <w:numId w:val="11"/>
        </w:numPr>
        <w:rPr>
          <w:b/>
          <w:lang w:val="es-ES" w:eastAsia="ar-SA"/>
        </w:rPr>
      </w:pPr>
      <w:r w:rsidRPr="003351F3">
        <w:rPr>
          <w:lang w:val="es-ES" w:eastAsia="ar-SA"/>
        </w:rPr>
        <w:t>Buzones éticos y de denuncias que garanticen el anonimato de los alertadores.</w:t>
      </w:r>
    </w:p>
    <w:p w14:paraId="6779E6D2" w14:textId="77777777" w:rsidR="003351F3" w:rsidRPr="003351F3" w:rsidRDefault="003351F3" w:rsidP="003351F3">
      <w:pPr>
        <w:pStyle w:val="ListParagraph"/>
        <w:rPr>
          <w:lang w:val="es-ES" w:eastAsia="ar-SA"/>
        </w:rPr>
      </w:pPr>
    </w:p>
    <w:p w14:paraId="354A97D9" w14:textId="77777777" w:rsidR="003351F3" w:rsidRPr="003351F3" w:rsidRDefault="00854C3B" w:rsidP="003351F3">
      <w:pPr>
        <w:pStyle w:val="ListParagraph"/>
        <w:numPr>
          <w:ilvl w:val="0"/>
          <w:numId w:val="11"/>
        </w:numPr>
        <w:rPr>
          <w:b/>
          <w:lang w:val="es-ES" w:eastAsia="ar-SA"/>
        </w:rPr>
      </w:pPr>
      <w:r w:rsidRPr="003351F3">
        <w:rPr>
          <w:lang w:val="es-ES" w:eastAsia="ar-SA"/>
        </w:rPr>
        <w:t>Mayores recursos para las entidades locales, tanto materiales, como humanos, así como una mayor formación</w:t>
      </w:r>
      <w:r w:rsidR="00C034C7" w:rsidRPr="003351F3">
        <w:rPr>
          <w:lang w:val="es-ES" w:eastAsia="ar-SA"/>
        </w:rPr>
        <w:t xml:space="preserve"> de los funcionarios y funcionarias</w:t>
      </w:r>
      <w:r w:rsidRPr="003351F3">
        <w:rPr>
          <w:lang w:val="es-ES" w:eastAsia="ar-SA"/>
        </w:rPr>
        <w:t>.</w:t>
      </w:r>
    </w:p>
    <w:p w14:paraId="299A1243" w14:textId="77777777" w:rsidR="003351F3" w:rsidRPr="003351F3" w:rsidRDefault="003351F3" w:rsidP="003351F3">
      <w:pPr>
        <w:pStyle w:val="ListParagraph"/>
        <w:rPr>
          <w:lang w:val="es-ES" w:eastAsia="ar-SA"/>
        </w:rPr>
      </w:pPr>
    </w:p>
    <w:p w14:paraId="0D4BB9C5" w14:textId="77777777" w:rsidR="003351F3" w:rsidRPr="003351F3" w:rsidRDefault="00854C3B" w:rsidP="003351F3">
      <w:pPr>
        <w:pStyle w:val="ListParagraph"/>
        <w:numPr>
          <w:ilvl w:val="0"/>
          <w:numId w:val="11"/>
        </w:numPr>
        <w:rPr>
          <w:b/>
          <w:lang w:val="es-ES" w:eastAsia="ar-SA"/>
        </w:rPr>
      </w:pPr>
      <w:r w:rsidRPr="003351F3">
        <w:rPr>
          <w:lang w:val="es-ES" w:eastAsia="ar-SA"/>
        </w:rPr>
        <w:t>Establecer sistemas de integridad y códigos éticos.</w:t>
      </w:r>
    </w:p>
    <w:p w14:paraId="2F677604" w14:textId="77777777" w:rsidR="003351F3" w:rsidRPr="003351F3" w:rsidRDefault="003351F3" w:rsidP="003351F3">
      <w:pPr>
        <w:pStyle w:val="ListParagraph"/>
        <w:rPr>
          <w:lang w:val="es-ES" w:eastAsia="ar-SA"/>
        </w:rPr>
      </w:pPr>
    </w:p>
    <w:p w14:paraId="2A27E818" w14:textId="0B77C84C" w:rsidR="00854C3B" w:rsidRPr="003351F3" w:rsidRDefault="00854C3B" w:rsidP="003351F3">
      <w:pPr>
        <w:pStyle w:val="ListParagraph"/>
        <w:numPr>
          <w:ilvl w:val="0"/>
          <w:numId w:val="11"/>
        </w:numPr>
        <w:rPr>
          <w:b/>
          <w:lang w:val="es-ES" w:eastAsia="ar-SA"/>
        </w:rPr>
      </w:pPr>
      <w:r w:rsidRPr="003351F3">
        <w:rPr>
          <w:lang w:val="es-ES" w:eastAsia="ar-SA"/>
        </w:rPr>
        <w:t>Mejorar la comunicación con la ciudadanía y sus posibilidades de participación.</w:t>
      </w:r>
    </w:p>
    <w:p w14:paraId="4F93FD09" w14:textId="15F096BE" w:rsidR="00ED3288" w:rsidRDefault="00ED3288" w:rsidP="00C034C7">
      <w:pPr>
        <w:rPr>
          <w:lang w:val="es-ES" w:eastAsia="ar-SA"/>
        </w:rPr>
      </w:pPr>
    </w:p>
    <w:p w14:paraId="343B5962" w14:textId="62DD4956" w:rsidR="003351F3" w:rsidRDefault="003351F3" w:rsidP="00C034C7">
      <w:pPr>
        <w:rPr>
          <w:lang w:val="es-ES" w:eastAsia="ar-SA"/>
        </w:rPr>
      </w:pPr>
    </w:p>
    <w:p w14:paraId="5E5366CB" w14:textId="27F99EAE" w:rsidR="004E57E0" w:rsidRDefault="004E57E0" w:rsidP="00C034C7">
      <w:pPr>
        <w:rPr>
          <w:lang w:val="es-ES" w:eastAsia="ar-SA"/>
        </w:rPr>
      </w:pPr>
    </w:p>
    <w:p w14:paraId="69DB8C77" w14:textId="5693005B" w:rsidR="004E57E0" w:rsidRPr="00497787" w:rsidRDefault="00AE6DF3" w:rsidP="00AE6DF3">
      <w:pPr>
        <w:spacing w:line="480" w:lineRule="auto"/>
        <w:rPr>
          <w:i/>
          <w:lang w:val="es-ES" w:eastAsia="ar-SA"/>
        </w:rPr>
      </w:pPr>
      <w:bookmarkStart w:id="1" w:name="_GoBack"/>
      <w:bookmarkEnd w:id="1"/>
      <w:r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0875D69" wp14:editId="67033ECA">
                <wp:simplePos x="0" y="0"/>
                <wp:positionH relativeFrom="column">
                  <wp:posOffset>384810</wp:posOffset>
                </wp:positionH>
                <wp:positionV relativeFrom="paragraph">
                  <wp:posOffset>407035</wp:posOffset>
                </wp:positionV>
                <wp:extent cx="5365750" cy="762000"/>
                <wp:effectExtent l="0" t="0" r="2540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DA8D8" w14:textId="77777777" w:rsidR="00AE6DF3" w:rsidRDefault="00AE6DF3" w:rsidP="00AE6DF3">
                            <w:pPr>
                              <w:spacing w:before="120"/>
                              <w:jc w:val="center"/>
                              <w:rPr>
                                <w:lang w:val="es-ES" w:eastAsia="ar-SA"/>
                              </w:rPr>
                            </w:pPr>
                            <w:r>
                              <w:rPr>
                                <w:lang w:val="es-ES" w:eastAsia="ar-SA"/>
                              </w:rPr>
                              <w:t>Para más información, por favor contacte con el equipo de Access Info Europe:</w:t>
                            </w:r>
                          </w:p>
                          <w:p w14:paraId="34058331" w14:textId="1F6E4582" w:rsidR="00AE6DF3" w:rsidRPr="00497787" w:rsidRDefault="00AE6DF3" w:rsidP="00AE6DF3">
                            <w:pPr>
                              <w:spacing w:line="480" w:lineRule="auto"/>
                              <w:jc w:val="center"/>
                              <w:rPr>
                                <w:i/>
                                <w:lang w:val="es-ES" w:eastAsia="ar-SA"/>
                              </w:rPr>
                            </w:pPr>
                            <w:r>
                              <w:rPr>
                                <w:i/>
                                <w:lang w:val="es-ES" w:eastAsia="ar-SA"/>
                              </w:rPr>
                              <w:t>M</w:t>
                            </w:r>
                            <w:r w:rsidRPr="00497787">
                              <w:rPr>
                                <w:i/>
                                <w:lang w:val="es-ES" w:eastAsia="ar-SA"/>
                              </w:rPr>
                              <w:t xml:space="preserve">arta Morcuende (Investigación y Campañas): </w:t>
                            </w:r>
                            <w:hyperlink r:id="rId24" w:history="1">
                              <w:r w:rsidRPr="00497787">
                                <w:rPr>
                                  <w:rStyle w:val="Hyperlink"/>
                                  <w:i/>
                                  <w:lang w:val="es-ES" w:eastAsia="ar-SA"/>
                                </w:rPr>
                                <w:t>marta@access-info.org</w:t>
                              </w:r>
                            </w:hyperlink>
                          </w:p>
                          <w:p w14:paraId="24500771" w14:textId="77777777" w:rsidR="00AE6DF3" w:rsidRPr="00AE6DF3" w:rsidRDefault="00AE6DF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75D69" id="Text Box 14" o:spid="_x0000_s1027" type="#_x0000_t202" style="position:absolute;margin-left:30.3pt;margin-top:32.05pt;width:422.5pt;height:60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" fillcolor="white [3201]" strokeweight=".5pt">
                <v:textbox>
                  <w:txbxContent>
                    <w:p w14:paraId="05ADA8D8" w14:textId="77777777" w:rsidR="00AE6DF3" w:rsidRDefault="00AE6DF3" w:rsidP="00AE6DF3">
                      <w:pPr>
                        <w:spacing w:before="120"/>
                        <w:jc w:val="center"/>
                        <w:rPr>
                          <w:lang w:val="es-ES" w:eastAsia="ar-SA"/>
                        </w:rPr>
                      </w:pPr>
                      <w:r>
                        <w:rPr>
                          <w:lang w:val="es-ES" w:eastAsia="ar-SA"/>
                        </w:rPr>
                        <w:t>Para más información, por favor contacte con el equipo de Access Info Europe:</w:t>
                      </w:r>
                    </w:p>
                    <w:p w14:paraId="34058331" w14:textId="1F6E4582" w:rsidR="00AE6DF3" w:rsidRPr="00497787" w:rsidRDefault="00AE6DF3" w:rsidP="00AE6DF3">
                      <w:pPr>
                        <w:spacing w:line="480" w:lineRule="auto"/>
                        <w:jc w:val="center"/>
                        <w:rPr>
                          <w:i/>
                          <w:lang w:val="es-ES" w:eastAsia="ar-SA"/>
                        </w:rPr>
                      </w:pPr>
                      <w:r>
                        <w:rPr>
                          <w:i/>
                          <w:lang w:val="es-ES" w:eastAsia="ar-SA"/>
                        </w:rPr>
                        <w:t>M</w:t>
                      </w:r>
                      <w:r w:rsidRPr="00497787">
                        <w:rPr>
                          <w:i/>
                          <w:lang w:val="es-ES" w:eastAsia="ar-SA"/>
                        </w:rPr>
                        <w:t xml:space="preserve">arta Morcuende (Investigación y Campañas): </w:t>
                      </w:r>
                      <w:hyperlink r:id="rId25" w:history="1">
                        <w:r w:rsidRPr="00497787">
                          <w:rPr>
                            <w:rStyle w:val="Hyperlink"/>
                            <w:i/>
                            <w:lang w:val="es-ES" w:eastAsia="ar-SA"/>
                          </w:rPr>
                          <w:t>marta@access-info.org</w:t>
                        </w:r>
                      </w:hyperlink>
                    </w:p>
                    <w:p w14:paraId="24500771" w14:textId="77777777" w:rsidR="00AE6DF3" w:rsidRPr="00AE6DF3" w:rsidRDefault="00AE6DF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57E0" w:rsidRPr="00497787" w:rsidSect="00416DD3">
      <w:headerReference w:type="default" r:id="rId26"/>
      <w:footerReference w:type="even" r:id="rId27"/>
      <w:pgSz w:w="11907" w:h="16840" w:code="9"/>
      <w:pgMar w:top="1134" w:right="1134" w:bottom="1134" w:left="1134" w:header="709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B0CBF" w14:textId="77777777" w:rsidR="005F614D" w:rsidRDefault="005F614D" w:rsidP="009940F8">
      <w:pPr>
        <w:spacing w:after="0" w:line="240" w:lineRule="auto"/>
      </w:pPr>
      <w:r>
        <w:separator/>
      </w:r>
    </w:p>
  </w:endnote>
  <w:endnote w:type="continuationSeparator" w:id="0">
    <w:p w14:paraId="0EE04406" w14:textId="77777777" w:rsidR="005F614D" w:rsidRDefault="005F614D" w:rsidP="0099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">
    <w:altName w:val="Segoe UI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2125C" w14:textId="77777777" w:rsidR="00D521BB" w:rsidRDefault="00D521BB" w:rsidP="009940F8">
    <w:pPr>
      <w:pStyle w:val="Footer"/>
      <w:tabs>
        <w:tab w:val="clear" w:pos="4153"/>
        <w:tab w:val="clear" w:pos="8306"/>
        <w:tab w:val="center" w:pos="4890"/>
        <w:tab w:val="right" w:pos="9781"/>
      </w:tabs>
    </w:pPr>
    <w:r>
      <w:t>[Type text]</w:t>
    </w:r>
    <w:r>
      <w:rPr>
        <w:color w:val="auto"/>
      </w:rPr>
      <w:tab/>
    </w:r>
    <w:r>
      <w:t>[Type text]</w:t>
    </w:r>
    <w:r>
      <w:rPr>
        <w:color w:val="auto"/>
      </w:rPr>
      <w:tab/>
    </w:r>
    <w:r>
      <w:t>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226D3" w14:textId="77777777" w:rsidR="005F614D" w:rsidRDefault="005F614D" w:rsidP="009940F8">
      <w:pPr>
        <w:spacing w:after="0" w:line="240" w:lineRule="auto"/>
      </w:pPr>
      <w:r>
        <w:separator/>
      </w:r>
    </w:p>
  </w:footnote>
  <w:footnote w:type="continuationSeparator" w:id="0">
    <w:p w14:paraId="581B0872" w14:textId="77777777" w:rsidR="005F614D" w:rsidRDefault="005F614D" w:rsidP="009940F8">
      <w:pPr>
        <w:spacing w:after="0" w:line="240" w:lineRule="auto"/>
      </w:pPr>
      <w:r>
        <w:continuationSeparator/>
      </w:r>
    </w:p>
  </w:footnote>
  <w:footnote w:id="1">
    <w:p w14:paraId="333C9B92" w14:textId="4967BE19" w:rsidR="00BA5340" w:rsidRPr="00BA5340" w:rsidRDefault="00BA5340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BA5340">
        <w:rPr>
          <w:lang w:val="es-ES"/>
        </w:rPr>
        <w:t xml:space="preserve"> La encuesta se encuentra abierta </w:t>
      </w:r>
      <w:r w:rsidR="009B18C8">
        <w:rPr>
          <w:lang w:val="es-ES"/>
        </w:rPr>
        <w:t xml:space="preserve">hasta el día 15 de abril de 2021 </w:t>
      </w:r>
      <w:r w:rsidRPr="00BA5340">
        <w:rPr>
          <w:lang w:val="es-ES"/>
        </w:rPr>
        <w:t xml:space="preserve">para cualquier entidad local que quiera cumplimentarla: </w:t>
      </w:r>
      <w:hyperlink r:id="rId1" w:history="1">
        <w:r w:rsidRPr="00BA5340">
          <w:rPr>
            <w:rStyle w:val="Hyperlink"/>
            <w:color w:val="006699"/>
            <w:lang w:val="es-ES"/>
          </w:rPr>
          <w:t>https://s.surveyplanet.com/GoJuyKeXs</w:t>
        </w:r>
      </w:hyperlink>
      <w:r>
        <w:rPr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6025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CCFC3D" w14:textId="5783B650" w:rsidR="00076338" w:rsidRDefault="0007633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DF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0587558" w14:textId="77777777" w:rsidR="00076338" w:rsidRDefault="00076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9A24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22544B"/>
    <w:multiLevelType w:val="hybridMultilevel"/>
    <w:tmpl w:val="EEA0200A"/>
    <w:lvl w:ilvl="0" w:tplc="CD7A806C">
      <w:start w:val="1"/>
      <w:numFmt w:val="bullet"/>
      <w:lvlText w:val="»"/>
      <w:lvlJc w:val="left"/>
      <w:pPr>
        <w:ind w:left="144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9A6D23"/>
    <w:multiLevelType w:val="hybridMultilevel"/>
    <w:tmpl w:val="654A4DDE"/>
    <w:lvl w:ilvl="0" w:tplc="7AF68DC0">
      <w:start w:val="28"/>
      <w:numFmt w:val="bullet"/>
      <w:lvlText w:val="-"/>
      <w:lvlJc w:val="left"/>
      <w:pPr>
        <w:ind w:left="720" w:hanging="360"/>
      </w:pPr>
      <w:rPr>
        <w:rFonts w:ascii="Verdana" w:eastAsia="Times New Roman" w:hAnsi="Verdana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3E5B"/>
    <w:multiLevelType w:val="hybridMultilevel"/>
    <w:tmpl w:val="BB88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C199D"/>
    <w:multiLevelType w:val="hybridMultilevel"/>
    <w:tmpl w:val="C2DAA85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60E1FD5"/>
    <w:multiLevelType w:val="hybridMultilevel"/>
    <w:tmpl w:val="EE04A1AA"/>
    <w:lvl w:ilvl="0" w:tplc="FF0867C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D6E52"/>
    <w:multiLevelType w:val="hybridMultilevel"/>
    <w:tmpl w:val="F9DC0666"/>
    <w:lvl w:ilvl="0" w:tplc="CD7A806C">
      <w:start w:val="1"/>
      <w:numFmt w:val="bullet"/>
      <w:lvlText w:val="»"/>
      <w:lvlJc w:val="left"/>
      <w:pPr>
        <w:ind w:left="144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912E4B"/>
    <w:multiLevelType w:val="hybridMultilevel"/>
    <w:tmpl w:val="636E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E506D"/>
    <w:multiLevelType w:val="hybridMultilevel"/>
    <w:tmpl w:val="8BC4796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565732B"/>
    <w:multiLevelType w:val="hybridMultilevel"/>
    <w:tmpl w:val="215C0A70"/>
    <w:lvl w:ilvl="0" w:tplc="1C147BF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>
      <o:colormru v:ext="edit" colors="#369,#396,#f90,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CD"/>
    <w:rsid w:val="000004FB"/>
    <w:rsid w:val="00040E2B"/>
    <w:rsid w:val="000469DB"/>
    <w:rsid w:val="00050DFA"/>
    <w:rsid w:val="0005272B"/>
    <w:rsid w:val="0006238B"/>
    <w:rsid w:val="000662F1"/>
    <w:rsid w:val="000669B2"/>
    <w:rsid w:val="00067194"/>
    <w:rsid w:val="0007435E"/>
    <w:rsid w:val="00076338"/>
    <w:rsid w:val="00076DC6"/>
    <w:rsid w:val="0008319E"/>
    <w:rsid w:val="00084211"/>
    <w:rsid w:val="00090CC4"/>
    <w:rsid w:val="00093883"/>
    <w:rsid w:val="000A1B94"/>
    <w:rsid w:val="000A2470"/>
    <w:rsid w:val="000B08BF"/>
    <w:rsid w:val="000C30F5"/>
    <w:rsid w:val="000C4418"/>
    <w:rsid w:val="000C73FD"/>
    <w:rsid w:val="000C7B01"/>
    <w:rsid w:val="000C7F87"/>
    <w:rsid w:val="000E07BB"/>
    <w:rsid w:val="000F130C"/>
    <w:rsid w:val="000F4AE2"/>
    <w:rsid w:val="001047B1"/>
    <w:rsid w:val="00116295"/>
    <w:rsid w:val="00141C71"/>
    <w:rsid w:val="00142561"/>
    <w:rsid w:val="00145402"/>
    <w:rsid w:val="00153E18"/>
    <w:rsid w:val="001575EF"/>
    <w:rsid w:val="0016667C"/>
    <w:rsid w:val="001756DB"/>
    <w:rsid w:val="00182FB6"/>
    <w:rsid w:val="00191FA3"/>
    <w:rsid w:val="001966BB"/>
    <w:rsid w:val="001A5C15"/>
    <w:rsid w:val="001B3CD8"/>
    <w:rsid w:val="001B6280"/>
    <w:rsid w:val="001C25BB"/>
    <w:rsid w:val="001D02B1"/>
    <w:rsid w:val="001D4A6F"/>
    <w:rsid w:val="001E0C97"/>
    <w:rsid w:val="001E2516"/>
    <w:rsid w:val="001E639C"/>
    <w:rsid w:val="001F4174"/>
    <w:rsid w:val="001F63EB"/>
    <w:rsid w:val="001F728F"/>
    <w:rsid w:val="00220B69"/>
    <w:rsid w:val="002239B0"/>
    <w:rsid w:val="002246D7"/>
    <w:rsid w:val="002261B2"/>
    <w:rsid w:val="0023001D"/>
    <w:rsid w:val="0023571B"/>
    <w:rsid w:val="00243573"/>
    <w:rsid w:val="00244A38"/>
    <w:rsid w:val="00246005"/>
    <w:rsid w:val="002526FD"/>
    <w:rsid w:val="00255E9D"/>
    <w:rsid w:val="00257E96"/>
    <w:rsid w:val="00264697"/>
    <w:rsid w:val="00271AE2"/>
    <w:rsid w:val="00275BEC"/>
    <w:rsid w:val="00277E1C"/>
    <w:rsid w:val="002805AF"/>
    <w:rsid w:val="002836B9"/>
    <w:rsid w:val="00284BBE"/>
    <w:rsid w:val="002A24B7"/>
    <w:rsid w:val="002A4301"/>
    <w:rsid w:val="002B0882"/>
    <w:rsid w:val="002B0AE9"/>
    <w:rsid w:val="002B692D"/>
    <w:rsid w:val="002C47F7"/>
    <w:rsid w:val="002D062C"/>
    <w:rsid w:val="002D0D84"/>
    <w:rsid w:val="002D4853"/>
    <w:rsid w:val="002D7242"/>
    <w:rsid w:val="002E50E9"/>
    <w:rsid w:val="002E550F"/>
    <w:rsid w:val="002E5580"/>
    <w:rsid w:val="002F6939"/>
    <w:rsid w:val="002F7E4C"/>
    <w:rsid w:val="00300A05"/>
    <w:rsid w:val="00302C49"/>
    <w:rsid w:val="00310DAC"/>
    <w:rsid w:val="00311190"/>
    <w:rsid w:val="003142EA"/>
    <w:rsid w:val="003164F6"/>
    <w:rsid w:val="003230CD"/>
    <w:rsid w:val="003351F3"/>
    <w:rsid w:val="0034194B"/>
    <w:rsid w:val="003459DE"/>
    <w:rsid w:val="003501C0"/>
    <w:rsid w:val="00351BE2"/>
    <w:rsid w:val="003530E5"/>
    <w:rsid w:val="00353239"/>
    <w:rsid w:val="00362510"/>
    <w:rsid w:val="00366BEC"/>
    <w:rsid w:val="00370048"/>
    <w:rsid w:val="00371F35"/>
    <w:rsid w:val="0038285C"/>
    <w:rsid w:val="00393145"/>
    <w:rsid w:val="00396048"/>
    <w:rsid w:val="003A29BD"/>
    <w:rsid w:val="003A4708"/>
    <w:rsid w:val="003B44C8"/>
    <w:rsid w:val="003C5A01"/>
    <w:rsid w:val="003C78A3"/>
    <w:rsid w:val="003E23E9"/>
    <w:rsid w:val="003E3008"/>
    <w:rsid w:val="003F1958"/>
    <w:rsid w:val="003F4B65"/>
    <w:rsid w:val="00404A63"/>
    <w:rsid w:val="0041393F"/>
    <w:rsid w:val="00416DD3"/>
    <w:rsid w:val="00416E34"/>
    <w:rsid w:val="00422A35"/>
    <w:rsid w:val="004238D2"/>
    <w:rsid w:val="0042467D"/>
    <w:rsid w:val="00424E11"/>
    <w:rsid w:val="00425AD6"/>
    <w:rsid w:val="00430B3E"/>
    <w:rsid w:val="00432B76"/>
    <w:rsid w:val="00435BB9"/>
    <w:rsid w:val="00442B6D"/>
    <w:rsid w:val="0044429A"/>
    <w:rsid w:val="0045292A"/>
    <w:rsid w:val="00465BEE"/>
    <w:rsid w:val="00483914"/>
    <w:rsid w:val="0048473F"/>
    <w:rsid w:val="004928DB"/>
    <w:rsid w:val="00494242"/>
    <w:rsid w:val="00495B97"/>
    <w:rsid w:val="00495CF8"/>
    <w:rsid w:val="00497787"/>
    <w:rsid w:val="004A167A"/>
    <w:rsid w:val="004A5E9F"/>
    <w:rsid w:val="004B2AD1"/>
    <w:rsid w:val="004D08F9"/>
    <w:rsid w:val="004D28B3"/>
    <w:rsid w:val="004E343B"/>
    <w:rsid w:val="004E3879"/>
    <w:rsid w:val="004E3C6A"/>
    <w:rsid w:val="004E51EF"/>
    <w:rsid w:val="004E57E0"/>
    <w:rsid w:val="004E7B08"/>
    <w:rsid w:val="004E7F2B"/>
    <w:rsid w:val="004F35C5"/>
    <w:rsid w:val="004F5028"/>
    <w:rsid w:val="004F50D7"/>
    <w:rsid w:val="00507F76"/>
    <w:rsid w:val="00511689"/>
    <w:rsid w:val="00512BA0"/>
    <w:rsid w:val="00527629"/>
    <w:rsid w:val="00535EC1"/>
    <w:rsid w:val="00540005"/>
    <w:rsid w:val="005424E7"/>
    <w:rsid w:val="00542C4D"/>
    <w:rsid w:val="005445BA"/>
    <w:rsid w:val="00545554"/>
    <w:rsid w:val="00547B29"/>
    <w:rsid w:val="00553F56"/>
    <w:rsid w:val="00564BCA"/>
    <w:rsid w:val="00566003"/>
    <w:rsid w:val="005712B6"/>
    <w:rsid w:val="00576090"/>
    <w:rsid w:val="00577642"/>
    <w:rsid w:val="00577EF3"/>
    <w:rsid w:val="00580AD2"/>
    <w:rsid w:val="0058230A"/>
    <w:rsid w:val="00591901"/>
    <w:rsid w:val="00591ABB"/>
    <w:rsid w:val="00593A7B"/>
    <w:rsid w:val="005A23C2"/>
    <w:rsid w:val="005A2916"/>
    <w:rsid w:val="005A3740"/>
    <w:rsid w:val="005A4FD6"/>
    <w:rsid w:val="005A6B67"/>
    <w:rsid w:val="005C1B30"/>
    <w:rsid w:val="005C4F99"/>
    <w:rsid w:val="005D158B"/>
    <w:rsid w:val="005D47D4"/>
    <w:rsid w:val="005E0E75"/>
    <w:rsid w:val="005F19AB"/>
    <w:rsid w:val="005F25E4"/>
    <w:rsid w:val="005F26AB"/>
    <w:rsid w:val="005F614D"/>
    <w:rsid w:val="006001EE"/>
    <w:rsid w:val="006043C3"/>
    <w:rsid w:val="006055C0"/>
    <w:rsid w:val="0060606E"/>
    <w:rsid w:val="00613202"/>
    <w:rsid w:val="006171EC"/>
    <w:rsid w:val="0062180F"/>
    <w:rsid w:val="00621B5F"/>
    <w:rsid w:val="00622D0F"/>
    <w:rsid w:val="00626E23"/>
    <w:rsid w:val="006277B2"/>
    <w:rsid w:val="00631B24"/>
    <w:rsid w:val="006328BC"/>
    <w:rsid w:val="00633138"/>
    <w:rsid w:val="0063769E"/>
    <w:rsid w:val="0064075A"/>
    <w:rsid w:val="00640ABC"/>
    <w:rsid w:val="0064316D"/>
    <w:rsid w:val="006447BC"/>
    <w:rsid w:val="0064547C"/>
    <w:rsid w:val="006467F5"/>
    <w:rsid w:val="00660FDB"/>
    <w:rsid w:val="00663ACD"/>
    <w:rsid w:val="00687B27"/>
    <w:rsid w:val="00693AA5"/>
    <w:rsid w:val="006962F7"/>
    <w:rsid w:val="00697956"/>
    <w:rsid w:val="006A05C6"/>
    <w:rsid w:val="006C13AB"/>
    <w:rsid w:val="006C3617"/>
    <w:rsid w:val="006C45A2"/>
    <w:rsid w:val="006C50C5"/>
    <w:rsid w:val="006C7D0B"/>
    <w:rsid w:val="006D0F77"/>
    <w:rsid w:val="006D2F24"/>
    <w:rsid w:val="006E0733"/>
    <w:rsid w:val="006E45FC"/>
    <w:rsid w:val="006F466C"/>
    <w:rsid w:val="007000CB"/>
    <w:rsid w:val="00704C93"/>
    <w:rsid w:val="00711FB4"/>
    <w:rsid w:val="00724BC7"/>
    <w:rsid w:val="00726B28"/>
    <w:rsid w:val="00735453"/>
    <w:rsid w:val="007424E9"/>
    <w:rsid w:val="00751176"/>
    <w:rsid w:val="00755107"/>
    <w:rsid w:val="007606D0"/>
    <w:rsid w:val="0076366C"/>
    <w:rsid w:val="00770FD9"/>
    <w:rsid w:val="00773C7D"/>
    <w:rsid w:val="0078275E"/>
    <w:rsid w:val="007905E5"/>
    <w:rsid w:val="00792FF7"/>
    <w:rsid w:val="007934D6"/>
    <w:rsid w:val="007A1301"/>
    <w:rsid w:val="007A2E80"/>
    <w:rsid w:val="007B2294"/>
    <w:rsid w:val="007C13EF"/>
    <w:rsid w:val="007C4EA0"/>
    <w:rsid w:val="007C7942"/>
    <w:rsid w:val="007C7C03"/>
    <w:rsid w:val="007D253A"/>
    <w:rsid w:val="007D2627"/>
    <w:rsid w:val="007D7A3C"/>
    <w:rsid w:val="007E37FA"/>
    <w:rsid w:val="007F3ABF"/>
    <w:rsid w:val="007F70FD"/>
    <w:rsid w:val="00800629"/>
    <w:rsid w:val="00801481"/>
    <w:rsid w:val="008053A7"/>
    <w:rsid w:val="0081331A"/>
    <w:rsid w:val="0081426E"/>
    <w:rsid w:val="008159C8"/>
    <w:rsid w:val="00817239"/>
    <w:rsid w:val="00836B77"/>
    <w:rsid w:val="00840512"/>
    <w:rsid w:val="008513D1"/>
    <w:rsid w:val="00853014"/>
    <w:rsid w:val="00854C3B"/>
    <w:rsid w:val="0085705C"/>
    <w:rsid w:val="008576B5"/>
    <w:rsid w:val="00857A50"/>
    <w:rsid w:val="00857CC6"/>
    <w:rsid w:val="00857E9C"/>
    <w:rsid w:val="00860A72"/>
    <w:rsid w:val="00864695"/>
    <w:rsid w:val="00867598"/>
    <w:rsid w:val="008679E3"/>
    <w:rsid w:val="008739FC"/>
    <w:rsid w:val="00873F9F"/>
    <w:rsid w:val="00874D33"/>
    <w:rsid w:val="008831E2"/>
    <w:rsid w:val="00894727"/>
    <w:rsid w:val="00894E82"/>
    <w:rsid w:val="00895308"/>
    <w:rsid w:val="008A1094"/>
    <w:rsid w:val="008A539A"/>
    <w:rsid w:val="008B2C32"/>
    <w:rsid w:val="008B4A84"/>
    <w:rsid w:val="008C472D"/>
    <w:rsid w:val="008C74B0"/>
    <w:rsid w:val="008D0EA0"/>
    <w:rsid w:val="008D3B75"/>
    <w:rsid w:val="008D4CC0"/>
    <w:rsid w:val="008D631C"/>
    <w:rsid w:val="008F33BD"/>
    <w:rsid w:val="008F3CAE"/>
    <w:rsid w:val="008F71FD"/>
    <w:rsid w:val="00900FBD"/>
    <w:rsid w:val="009027F1"/>
    <w:rsid w:val="0090311C"/>
    <w:rsid w:val="00915437"/>
    <w:rsid w:val="009163E2"/>
    <w:rsid w:val="00930A36"/>
    <w:rsid w:val="009434BB"/>
    <w:rsid w:val="00944DA9"/>
    <w:rsid w:val="00946ECD"/>
    <w:rsid w:val="00965272"/>
    <w:rsid w:val="0097106E"/>
    <w:rsid w:val="0098790D"/>
    <w:rsid w:val="00991CCA"/>
    <w:rsid w:val="00992324"/>
    <w:rsid w:val="009940F8"/>
    <w:rsid w:val="0099684E"/>
    <w:rsid w:val="009A301A"/>
    <w:rsid w:val="009A4296"/>
    <w:rsid w:val="009A5478"/>
    <w:rsid w:val="009B0CFD"/>
    <w:rsid w:val="009B18C8"/>
    <w:rsid w:val="009B523F"/>
    <w:rsid w:val="009B6214"/>
    <w:rsid w:val="009C01AA"/>
    <w:rsid w:val="009C12DF"/>
    <w:rsid w:val="009E49FB"/>
    <w:rsid w:val="009E6026"/>
    <w:rsid w:val="009E62D4"/>
    <w:rsid w:val="009F4112"/>
    <w:rsid w:val="009F5283"/>
    <w:rsid w:val="00A03470"/>
    <w:rsid w:val="00A06169"/>
    <w:rsid w:val="00A10701"/>
    <w:rsid w:val="00A163EC"/>
    <w:rsid w:val="00A21929"/>
    <w:rsid w:val="00A22A52"/>
    <w:rsid w:val="00A241F6"/>
    <w:rsid w:val="00A24A69"/>
    <w:rsid w:val="00A272B6"/>
    <w:rsid w:val="00A34284"/>
    <w:rsid w:val="00A447CB"/>
    <w:rsid w:val="00A46F69"/>
    <w:rsid w:val="00A5172A"/>
    <w:rsid w:val="00A547AA"/>
    <w:rsid w:val="00A6576C"/>
    <w:rsid w:val="00A6618A"/>
    <w:rsid w:val="00A67D95"/>
    <w:rsid w:val="00A70F9F"/>
    <w:rsid w:val="00A71A83"/>
    <w:rsid w:val="00A737B3"/>
    <w:rsid w:val="00A76CA5"/>
    <w:rsid w:val="00A83943"/>
    <w:rsid w:val="00A923F6"/>
    <w:rsid w:val="00A94F88"/>
    <w:rsid w:val="00AA14F0"/>
    <w:rsid w:val="00AA2AD7"/>
    <w:rsid w:val="00AA67AB"/>
    <w:rsid w:val="00AD6331"/>
    <w:rsid w:val="00AD681B"/>
    <w:rsid w:val="00AE37DB"/>
    <w:rsid w:val="00AE6DF3"/>
    <w:rsid w:val="00AE724F"/>
    <w:rsid w:val="00AF0B8B"/>
    <w:rsid w:val="00AF2891"/>
    <w:rsid w:val="00AF3B30"/>
    <w:rsid w:val="00AF4C22"/>
    <w:rsid w:val="00AF77C6"/>
    <w:rsid w:val="00B00F1A"/>
    <w:rsid w:val="00B03871"/>
    <w:rsid w:val="00B214B3"/>
    <w:rsid w:val="00B332D2"/>
    <w:rsid w:val="00B34D05"/>
    <w:rsid w:val="00B35445"/>
    <w:rsid w:val="00B354E5"/>
    <w:rsid w:val="00B66E9D"/>
    <w:rsid w:val="00B66FF8"/>
    <w:rsid w:val="00B729D7"/>
    <w:rsid w:val="00B838F9"/>
    <w:rsid w:val="00BA0A30"/>
    <w:rsid w:val="00BA5340"/>
    <w:rsid w:val="00BA635E"/>
    <w:rsid w:val="00BB48A4"/>
    <w:rsid w:val="00BC3266"/>
    <w:rsid w:val="00BD4CCE"/>
    <w:rsid w:val="00BD56BF"/>
    <w:rsid w:val="00BE086E"/>
    <w:rsid w:val="00BE5F3C"/>
    <w:rsid w:val="00C034C7"/>
    <w:rsid w:val="00C11E8B"/>
    <w:rsid w:val="00C16BE8"/>
    <w:rsid w:val="00C21A4C"/>
    <w:rsid w:val="00C24713"/>
    <w:rsid w:val="00C25EA6"/>
    <w:rsid w:val="00C377ED"/>
    <w:rsid w:val="00C420DB"/>
    <w:rsid w:val="00C44E18"/>
    <w:rsid w:val="00C51EC3"/>
    <w:rsid w:val="00C63A6B"/>
    <w:rsid w:val="00C646A4"/>
    <w:rsid w:val="00C705B3"/>
    <w:rsid w:val="00C72317"/>
    <w:rsid w:val="00C769A0"/>
    <w:rsid w:val="00C8018C"/>
    <w:rsid w:val="00C81A24"/>
    <w:rsid w:val="00C8560A"/>
    <w:rsid w:val="00C9396C"/>
    <w:rsid w:val="00C970E4"/>
    <w:rsid w:val="00CA1143"/>
    <w:rsid w:val="00CB1902"/>
    <w:rsid w:val="00CB4528"/>
    <w:rsid w:val="00CB6EA8"/>
    <w:rsid w:val="00CC6EFD"/>
    <w:rsid w:val="00CD12B2"/>
    <w:rsid w:val="00CD2B39"/>
    <w:rsid w:val="00CD5269"/>
    <w:rsid w:val="00CD7153"/>
    <w:rsid w:val="00CE0793"/>
    <w:rsid w:val="00CE08F2"/>
    <w:rsid w:val="00CE220A"/>
    <w:rsid w:val="00CE78FD"/>
    <w:rsid w:val="00CF16E7"/>
    <w:rsid w:val="00CF236C"/>
    <w:rsid w:val="00D210F9"/>
    <w:rsid w:val="00D22C8B"/>
    <w:rsid w:val="00D25883"/>
    <w:rsid w:val="00D31882"/>
    <w:rsid w:val="00D354AB"/>
    <w:rsid w:val="00D36668"/>
    <w:rsid w:val="00D408EB"/>
    <w:rsid w:val="00D41FAB"/>
    <w:rsid w:val="00D42B5C"/>
    <w:rsid w:val="00D47770"/>
    <w:rsid w:val="00D521BB"/>
    <w:rsid w:val="00D57210"/>
    <w:rsid w:val="00D64118"/>
    <w:rsid w:val="00D709BF"/>
    <w:rsid w:val="00D72757"/>
    <w:rsid w:val="00D7389C"/>
    <w:rsid w:val="00D757A1"/>
    <w:rsid w:val="00D7672D"/>
    <w:rsid w:val="00D76FE0"/>
    <w:rsid w:val="00D81C30"/>
    <w:rsid w:val="00D85C2A"/>
    <w:rsid w:val="00D91AED"/>
    <w:rsid w:val="00D93098"/>
    <w:rsid w:val="00D94DCD"/>
    <w:rsid w:val="00D96756"/>
    <w:rsid w:val="00DA2BE2"/>
    <w:rsid w:val="00DA3059"/>
    <w:rsid w:val="00DA4469"/>
    <w:rsid w:val="00DA7A7C"/>
    <w:rsid w:val="00DB2408"/>
    <w:rsid w:val="00DB40D3"/>
    <w:rsid w:val="00DC6B2D"/>
    <w:rsid w:val="00DD2553"/>
    <w:rsid w:val="00DD323F"/>
    <w:rsid w:val="00DD3DE1"/>
    <w:rsid w:val="00DD6366"/>
    <w:rsid w:val="00DE12EF"/>
    <w:rsid w:val="00DE475C"/>
    <w:rsid w:val="00DE4AE4"/>
    <w:rsid w:val="00DE7E85"/>
    <w:rsid w:val="00E00571"/>
    <w:rsid w:val="00E00A60"/>
    <w:rsid w:val="00E12C0C"/>
    <w:rsid w:val="00E27A8E"/>
    <w:rsid w:val="00E32ED3"/>
    <w:rsid w:val="00E33573"/>
    <w:rsid w:val="00E42798"/>
    <w:rsid w:val="00E42C58"/>
    <w:rsid w:val="00E42DA0"/>
    <w:rsid w:val="00E46425"/>
    <w:rsid w:val="00E52D41"/>
    <w:rsid w:val="00E55EE9"/>
    <w:rsid w:val="00E650FB"/>
    <w:rsid w:val="00E65ACF"/>
    <w:rsid w:val="00E65C8A"/>
    <w:rsid w:val="00E85494"/>
    <w:rsid w:val="00E933A7"/>
    <w:rsid w:val="00E936D1"/>
    <w:rsid w:val="00EA3D9A"/>
    <w:rsid w:val="00EA5C05"/>
    <w:rsid w:val="00EB320D"/>
    <w:rsid w:val="00EB637E"/>
    <w:rsid w:val="00EB73C6"/>
    <w:rsid w:val="00EC1796"/>
    <w:rsid w:val="00EC23E7"/>
    <w:rsid w:val="00EC4725"/>
    <w:rsid w:val="00EC6B37"/>
    <w:rsid w:val="00ED2D2A"/>
    <w:rsid w:val="00ED3288"/>
    <w:rsid w:val="00ED506B"/>
    <w:rsid w:val="00ED6418"/>
    <w:rsid w:val="00ED6775"/>
    <w:rsid w:val="00EE04E4"/>
    <w:rsid w:val="00EE7324"/>
    <w:rsid w:val="00F021E2"/>
    <w:rsid w:val="00F0570D"/>
    <w:rsid w:val="00F116B8"/>
    <w:rsid w:val="00F12BB8"/>
    <w:rsid w:val="00F130EE"/>
    <w:rsid w:val="00F137A2"/>
    <w:rsid w:val="00F23336"/>
    <w:rsid w:val="00F37EE8"/>
    <w:rsid w:val="00F37FC2"/>
    <w:rsid w:val="00F606AA"/>
    <w:rsid w:val="00F61FAD"/>
    <w:rsid w:val="00F67D65"/>
    <w:rsid w:val="00F92A39"/>
    <w:rsid w:val="00FA51B8"/>
    <w:rsid w:val="00FC1A77"/>
    <w:rsid w:val="00FC70D3"/>
    <w:rsid w:val="00FC7A6B"/>
    <w:rsid w:val="00FD06CE"/>
    <w:rsid w:val="00FD1F72"/>
    <w:rsid w:val="00FD2551"/>
    <w:rsid w:val="00FD59CD"/>
    <w:rsid w:val="00FD6C3D"/>
    <w:rsid w:val="00FD736A"/>
    <w:rsid w:val="00FE02D4"/>
    <w:rsid w:val="00FE0D51"/>
    <w:rsid w:val="00FE62BC"/>
    <w:rsid w:val="00FE7D10"/>
    <w:rsid w:val="00FF47C4"/>
    <w:rsid w:val="00FF506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69,#396,#f90,#f30"/>
    </o:shapedefaults>
    <o:shapelayout v:ext="edit">
      <o:idmap v:ext="edit" data="1"/>
    </o:shapelayout>
  </w:shapeDefaults>
  <w:decimalSymbol w:val="."/>
  <w:listSeparator w:val=","/>
  <w14:docId w14:val="25E7699F"/>
  <w14:defaultImageDpi w14:val="300"/>
  <w15:chartTrackingRefBased/>
  <w15:docId w15:val="{FDB6EA51-055B-4036-90D1-5AAF783C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18A"/>
    <w:pPr>
      <w:spacing w:after="160" w:line="300" w:lineRule="exact"/>
    </w:pPr>
    <w:rPr>
      <w:rFonts w:ascii="Times New Roman" w:hAnsi="Times New Roman"/>
      <w:color w:val="000000"/>
      <w:sz w:val="24"/>
      <w:szCs w:val="22"/>
      <w:lang w:val="en-GB"/>
    </w:rPr>
  </w:style>
  <w:style w:type="paragraph" w:styleId="Heading1">
    <w:name w:val="heading 1"/>
    <w:aliases w:val="AIE Head 1"/>
    <w:basedOn w:val="Normal"/>
    <w:next w:val="Normal"/>
    <w:link w:val="Heading1Char"/>
    <w:qFormat/>
    <w:rsid w:val="00F23336"/>
    <w:pPr>
      <w:keepNext/>
      <w:outlineLvl w:val="0"/>
    </w:pPr>
    <w:rPr>
      <w:rFonts w:ascii="Trebuchet MS" w:eastAsia="Times New Roman" w:hAnsi="Trebuchet MS"/>
      <w:b/>
      <w:bCs/>
      <w:color w:val="C00000"/>
      <w:kern w:val="1"/>
      <w:szCs w:val="32"/>
      <w:lang w:eastAsia="ar-SA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qFormat/>
    <w:rsid w:val="00D521BB"/>
    <w:pPr>
      <w:keepNext/>
      <w:spacing w:after="100"/>
      <w:jc w:val="center"/>
      <w:outlineLvl w:val="1"/>
    </w:pPr>
    <w:rPr>
      <w:rFonts w:ascii="Trebuchet MS" w:eastAsia="Times New Roman" w:hAnsi="Trebuchet MS" w:cs="Futura"/>
      <w:b/>
      <w:bCs/>
      <w:iCs/>
      <w:color w:val="006699"/>
      <w:szCs w:val="28"/>
      <w:lang w:val="es-ES"/>
    </w:rPr>
  </w:style>
  <w:style w:type="paragraph" w:styleId="Heading3">
    <w:name w:val="heading 3"/>
    <w:aliases w:val="AIE Head 2"/>
    <w:basedOn w:val="Normal"/>
    <w:next w:val="Normal"/>
    <w:link w:val="Heading3Char"/>
    <w:uiPriority w:val="9"/>
    <w:qFormat/>
    <w:rsid w:val="00D521BB"/>
    <w:pPr>
      <w:keepNext/>
      <w:spacing w:before="240" w:after="60"/>
      <w:outlineLvl w:val="2"/>
    </w:pPr>
    <w:rPr>
      <w:rFonts w:ascii="Trebuchet MS" w:eastAsia="Times New Roman" w:hAnsi="Trebuchet MS"/>
      <w:b/>
      <w:bCs/>
      <w:color w:val="006699"/>
      <w:szCs w:val="26"/>
    </w:rPr>
  </w:style>
  <w:style w:type="paragraph" w:styleId="Heading4">
    <w:name w:val="heading 4"/>
    <w:aliases w:val="AIE Head 3"/>
    <w:basedOn w:val="Normal"/>
    <w:next w:val="Normal"/>
    <w:link w:val="Heading4Char"/>
    <w:uiPriority w:val="9"/>
    <w:qFormat/>
    <w:rsid w:val="00F2333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D16349"/>
    </w:rPr>
  </w:style>
  <w:style w:type="paragraph" w:styleId="Heading5">
    <w:name w:val="heading 5"/>
    <w:basedOn w:val="Normal"/>
    <w:next w:val="Normal"/>
    <w:link w:val="Heading5Char"/>
    <w:uiPriority w:val="9"/>
    <w:rsid w:val="00F23336"/>
    <w:pPr>
      <w:keepNext/>
      <w:keepLines/>
      <w:spacing w:before="200" w:after="0"/>
      <w:outlineLvl w:val="4"/>
    </w:pPr>
    <w:rPr>
      <w:rFonts w:ascii="Cambria" w:eastAsia="Times New Roman" w:hAnsi="Cambria"/>
      <w:color w:val="6F2C1C"/>
    </w:rPr>
  </w:style>
  <w:style w:type="paragraph" w:styleId="Heading6">
    <w:name w:val="heading 6"/>
    <w:basedOn w:val="Normal"/>
    <w:next w:val="Normal"/>
    <w:link w:val="Heading6Char"/>
    <w:uiPriority w:val="9"/>
    <w:rsid w:val="00F2333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6F2C1C"/>
    </w:rPr>
  </w:style>
  <w:style w:type="paragraph" w:styleId="Heading7">
    <w:name w:val="heading 7"/>
    <w:basedOn w:val="Normal"/>
    <w:next w:val="Normal"/>
    <w:link w:val="Heading7Char"/>
    <w:uiPriority w:val="9"/>
    <w:rsid w:val="00F2333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rsid w:val="00F23336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F23336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IE Head 1 Char"/>
    <w:link w:val="Heading1"/>
    <w:rsid w:val="00F23336"/>
    <w:rPr>
      <w:rFonts w:ascii="Trebuchet MS" w:eastAsia="Times New Roman" w:hAnsi="Trebuchet MS" w:cs="Times New Roman"/>
      <w:b/>
      <w:bCs/>
      <w:color w:val="C00000"/>
      <w:kern w:val="1"/>
      <w:sz w:val="24"/>
      <w:szCs w:val="32"/>
      <w:lang w:eastAsia="ar-SA"/>
    </w:rPr>
  </w:style>
  <w:style w:type="character" w:customStyle="1" w:styleId="Heading2Char">
    <w:name w:val="Heading 2 Char"/>
    <w:aliases w:val="Subheading Char"/>
    <w:link w:val="Heading2"/>
    <w:uiPriority w:val="9"/>
    <w:rsid w:val="00D521BB"/>
    <w:rPr>
      <w:rFonts w:ascii="Trebuchet MS" w:eastAsia="Times New Roman" w:hAnsi="Trebuchet MS" w:cs="Futura"/>
      <w:b/>
      <w:bCs/>
      <w:iCs/>
      <w:color w:val="006699"/>
      <w:sz w:val="24"/>
      <w:szCs w:val="28"/>
      <w:lang w:val="es-ES"/>
    </w:rPr>
  </w:style>
  <w:style w:type="character" w:customStyle="1" w:styleId="Heading3Char">
    <w:name w:val="Heading 3 Char"/>
    <w:aliases w:val="AIE Head 2 Char"/>
    <w:link w:val="Heading3"/>
    <w:uiPriority w:val="9"/>
    <w:rsid w:val="00D521BB"/>
    <w:rPr>
      <w:rFonts w:ascii="Trebuchet MS" w:eastAsia="Times New Roman" w:hAnsi="Trebuchet MS"/>
      <w:b/>
      <w:bCs/>
      <w:color w:val="006699"/>
      <w:sz w:val="24"/>
      <w:szCs w:val="26"/>
      <w:lang w:val="en-GB"/>
    </w:rPr>
  </w:style>
  <w:style w:type="paragraph" w:customStyle="1" w:styleId="AIEFootnote">
    <w:name w:val="AIE Footnote"/>
    <w:basedOn w:val="FootnoteText"/>
    <w:autoRedefine/>
    <w:qFormat/>
    <w:rsid w:val="00C11E8B"/>
    <w:pPr>
      <w:spacing w:after="0" w:line="260" w:lineRule="exact"/>
    </w:pPr>
    <w:rPr>
      <w:rFonts w:ascii="Georgia" w:hAnsi="Georgia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5272"/>
    <w:pPr>
      <w:spacing w:line="240" w:lineRule="auto"/>
    </w:pPr>
  </w:style>
  <w:style w:type="character" w:customStyle="1" w:styleId="FootnoteTextChar">
    <w:name w:val="Footnote Text Char"/>
    <w:link w:val="FootnoteText"/>
    <w:uiPriority w:val="99"/>
    <w:semiHidden/>
    <w:rsid w:val="00965272"/>
    <w:rPr>
      <w:rFonts w:eastAsia="Times New Roman" w:cs="Calibri"/>
      <w:color w:val="000000"/>
      <w:lang w:eastAsia="ar-SA"/>
    </w:rPr>
  </w:style>
  <w:style w:type="paragraph" w:customStyle="1" w:styleId="Footnote">
    <w:name w:val="Footnote"/>
    <w:basedOn w:val="FootnoteText"/>
    <w:link w:val="FootnoteChar"/>
    <w:rsid w:val="00F23336"/>
    <w:pPr>
      <w:spacing w:line="280" w:lineRule="exact"/>
    </w:pPr>
    <w:rPr>
      <w:rFonts w:ascii="Trebuchet MS" w:hAnsi="Trebuchet MS"/>
      <w:szCs w:val="20"/>
      <w:lang w:val="en-US" w:eastAsia="ar-SA"/>
    </w:rPr>
  </w:style>
  <w:style w:type="character" w:customStyle="1" w:styleId="FootnoteChar">
    <w:name w:val="Footnote Char"/>
    <w:link w:val="Footnote"/>
    <w:rsid w:val="00F23336"/>
    <w:rPr>
      <w:rFonts w:ascii="Trebuchet MS" w:eastAsia="Times New Roman" w:hAnsi="Trebuchet MS" w:cs="Calibri"/>
      <w:color w:val="000000"/>
      <w:lang w:val="en-US" w:eastAsia="ar-SA"/>
    </w:rPr>
  </w:style>
  <w:style w:type="character" w:customStyle="1" w:styleId="Heading4Char">
    <w:name w:val="Heading 4 Char"/>
    <w:aliases w:val="AIE Head 3 Char"/>
    <w:link w:val="Heading4"/>
    <w:uiPriority w:val="9"/>
    <w:semiHidden/>
    <w:rsid w:val="00F23336"/>
    <w:rPr>
      <w:rFonts w:ascii="Cambria" w:eastAsia="Times New Roman" w:hAnsi="Cambria" w:cs="Times New Roman"/>
      <w:b/>
      <w:bCs/>
      <w:i/>
      <w:iCs/>
      <w:color w:val="D16349"/>
      <w:szCs w:val="22"/>
    </w:rPr>
  </w:style>
  <w:style w:type="character" w:customStyle="1" w:styleId="Heading5Char">
    <w:name w:val="Heading 5 Char"/>
    <w:link w:val="Heading5"/>
    <w:uiPriority w:val="9"/>
    <w:semiHidden/>
    <w:rsid w:val="00F23336"/>
    <w:rPr>
      <w:rFonts w:ascii="Cambria" w:eastAsia="Times New Roman" w:hAnsi="Cambria" w:cs="Times New Roman"/>
      <w:color w:val="6F2C1C"/>
      <w:szCs w:val="22"/>
    </w:rPr>
  </w:style>
  <w:style w:type="character" w:customStyle="1" w:styleId="Heading6Char">
    <w:name w:val="Heading 6 Char"/>
    <w:link w:val="Heading6"/>
    <w:uiPriority w:val="9"/>
    <w:semiHidden/>
    <w:rsid w:val="00F23336"/>
    <w:rPr>
      <w:rFonts w:ascii="Cambria" w:eastAsia="Times New Roman" w:hAnsi="Cambria" w:cs="Times New Roman"/>
      <w:i/>
      <w:iCs/>
      <w:color w:val="6F2C1C"/>
      <w:szCs w:val="22"/>
    </w:rPr>
  </w:style>
  <w:style w:type="character" w:customStyle="1" w:styleId="Heading7Char">
    <w:name w:val="Heading 7 Char"/>
    <w:link w:val="Heading7"/>
    <w:uiPriority w:val="9"/>
    <w:semiHidden/>
    <w:rsid w:val="00F23336"/>
    <w:rPr>
      <w:rFonts w:ascii="Cambria" w:eastAsia="Times New Roman" w:hAnsi="Cambria" w:cs="Times New Roman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semiHidden/>
    <w:rsid w:val="00F23336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F23336"/>
    <w:rPr>
      <w:rFonts w:ascii="Cambria" w:eastAsia="Times New Roman" w:hAnsi="Cambria" w:cs="Times New Roman"/>
      <w:i/>
      <w:iCs/>
      <w:color w:val="404040"/>
    </w:rPr>
  </w:style>
  <w:style w:type="paragraph" w:styleId="Title">
    <w:name w:val="Title"/>
    <w:basedOn w:val="Normal"/>
    <w:next w:val="Normal"/>
    <w:link w:val="TitleChar"/>
    <w:uiPriority w:val="10"/>
    <w:rsid w:val="00C11E8B"/>
    <w:pPr>
      <w:pBdr>
        <w:bottom w:val="single" w:sz="8" w:space="4" w:color="D16349"/>
      </w:pBdr>
      <w:spacing w:after="300" w:line="240" w:lineRule="auto"/>
      <w:contextualSpacing/>
    </w:pPr>
    <w:rPr>
      <w:rFonts w:ascii="Trebuchet MS" w:eastAsia="Times New Roman" w:hAnsi="Trebuchet MS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C11E8B"/>
    <w:rPr>
      <w:rFonts w:ascii="Trebuchet MS" w:eastAsia="Times New Roman" w:hAnsi="Trebuchet MS"/>
      <w:color w:val="000000"/>
      <w:spacing w:val="5"/>
      <w:kern w:val="28"/>
      <w:sz w:val="3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F23336"/>
    <w:pPr>
      <w:numPr>
        <w:ilvl w:val="1"/>
      </w:numPr>
    </w:pPr>
    <w:rPr>
      <w:rFonts w:ascii="Cambria" w:eastAsia="Times New Roman" w:hAnsi="Cambria"/>
      <w:i/>
      <w:iCs/>
      <w:color w:val="D16349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F23336"/>
    <w:rPr>
      <w:rFonts w:ascii="Cambria" w:eastAsia="Times New Roman" w:hAnsi="Cambria" w:cs="Times New Roman"/>
      <w:i/>
      <w:iCs/>
      <w:color w:val="D16349"/>
      <w:spacing w:val="15"/>
      <w:sz w:val="24"/>
      <w:szCs w:val="24"/>
    </w:rPr>
  </w:style>
  <w:style w:type="character" w:styleId="Strong">
    <w:name w:val="Strong"/>
    <w:uiPriority w:val="22"/>
    <w:rsid w:val="00F23336"/>
    <w:rPr>
      <w:b/>
      <w:bCs/>
    </w:rPr>
  </w:style>
  <w:style w:type="character" w:styleId="Emphasis">
    <w:name w:val="Emphasis"/>
    <w:uiPriority w:val="20"/>
    <w:rsid w:val="00F23336"/>
    <w:rPr>
      <w:i/>
      <w:iCs/>
    </w:rPr>
  </w:style>
  <w:style w:type="paragraph" w:customStyle="1" w:styleId="MediumGrid21">
    <w:name w:val="Medium Grid 21"/>
    <w:basedOn w:val="Normal"/>
    <w:uiPriority w:val="1"/>
    <w:rsid w:val="00F23336"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34"/>
    <w:rsid w:val="00F23336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sid w:val="00F23336"/>
    <w:rPr>
      <w:i/>
      <w:iCs/>
    </w:rPr>
  </w:style>
  <w:style w:type="character" w:customStyle="1" w:styleId="ColorfulGrid-Accent1Char">
    <w:name w:val="Colorful Grid - Accent 1 Char"/>
    <w:link w:val="ColorfulGrid-Accent11"/>
    <w:uiPriority w:val="29"/>
    <w:rsid w:val="00F23336"/>
    <w:rPr>
      <w:i/>
      <w:iCs/>
      <w:color w:val="000000"/>
      <w:szCs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F23336"/>
    <w:pPr>
      <w:pBdr>
        <w:bottom w:val="single" w:sz="4" w:space="4" w:color="D16349"/>
      </w:pBdr>
      <w:spacing w:before="200" w:after="280"/>
      <w:ind w:left="936" w:right="936"/>
    </w:pPr>
    <w:rPr>
      <w:b/>
      <w:bCs/>
      <w:i/>
      <w:iCs/>
      <w:color w:val="D16349"/>
    </w:rPr>
  </w:style>
  <w:style w:type="character" w:customStyle="1" w:styleId="LightShading-Accent2Char">
    <w:name w:val="Light Shading - Accent 2 Char"/>
    <w:link w:val="LightShading-Accent21"/>
    <w:uiPriority w:val="30"/>
    <w:rsid w:val="00F23336"/>
    <w:rPr>
      <w:b/>
      <w:bCs/>
      <w:i/>
      <w:iCs/>
      <w:color w:val="D16349"/>
      <w:szCs w:val="22"/>
    </w:rPr>
  </w:style>
  <w:style w:type="character" w:customStyle="1" w:styleId="PlainTable31">
    <w:name w:val="Plain Table 31"/>
    <w:uiPriority w:val="19"/>
    <w:rsid w:val="00F23336"/>
    <w:rPr>
      <w:i/>
      <w:iCs/>
      <w:color w:val="808080"/>
    </w:rPr>
  </w:style>
  <w:style w:type="character" w:customStyle="1" w:styleId="PlainTable41">
    <w:name w:val="Plain Table 41"/>
    <w:uiPriority w:val="21"/>
    <w:rsid w:val="00F23336"/>
    <w:rPr>
      <w:b/>
      <w:bCs/>
      <w:i/>
      <w:iCs/>
      <w:color w:val="D16349"/>
    </w:rPr>
  </w:style>
  <w:style w:type="character" w:customStyle="1" w:styleId="PlainTable51">
    <w:name w:val="Plain Table 51"/>
    <w:uiPriority w:val="31"/>
    <w:rsid w:val="00F23336"/>
    <w:rPr>
      <w:smallCaps/>
      <w:color w:val="CCB400"/>
      <w:u w:val="single"/>
    </w:rPr>
  </w:style>
  <w:style w:type="character" w:customStyle="1" w:styleId="TableGridLight1">
    <w:name w:val="Table Grid Light1"/>
    <w:uiPriority w:val="32"/>
    <w:rsid w:val="00F23336"/>
    <w:rPr>
      <w:b/>
      <w:bCs/>
      <w:smallCaps/>
      <w:color w:val="CCB400"/>
      <w:spacing w:val="5"/>
      <w:u w:val="single"/>
    </w:rPr>
  </w:style>
  <w:style w:type="character" w:customStyle="1" w:styleId="GridTable1Light1">
    <w:name w:val="Grid Table 1 Light1"/>
    <w:uiPriority w:val="33"/>
    <w:rsid w:val="00F23336"/>
    <w:rPr>
      <w:b/>
      <w:bCs/>
      <w:smallCaps/>
      <w:spacing w:val="5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F23336"/>
    <w:pPr>
      <w:keepLines/>
      <w:spacing w:before="480" w:after="0"/>
      <w:outlineLvl w:val="9"/>
    </w:pPr>
    <w:rPr>
      <w:rFonts w:ascii="Cambria" w:hAnsi="Cambria"/>
      <w:color w:val="A8422A"/>
      <w:kern w:val="0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59CD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0F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940F8"/>
    <w:rPr>
      <w:color w:val="000000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40F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940F8"/>
    <w:rPr>
      <w:color w:val="000000"/>
      <w:szCs w:val="22"/>
      <w:lang w:val="en-GB"/>
    </w:rPr>
  </w:style>
  <w:style w:type="character" w:styleId="Hyperlink">
    <w:name w:val="Hyperlink"/>
    <w:uiPriority w:val="99"/>
    <w:unhideWhenUsed/>
    <w:rsid w:val="00D521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1EC3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val="en-US"/>
    </w:rPr>
  </w:style>
  <w:style w:type="character" w:styleId="CommentReference">
    <w:name w:val="annotation reference"/>
    <w:uiPriority w:val="99"/>
    <w:unhideWhenUsed/>
    <w:rsid w:val="00A6618A"/>
    <w:rPr>
      <w:rFonts w:ascii="Sylfaen" w:hAnsi="Sylfaen"/>
      <w:noProof w:val="0"/>
      <w:sz w:val="22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D9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67D95"/>
    <w:rPr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D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7D95"/>
    <w:rPr>
      <w:b/>
      <w:bCs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8B2C32"/>
    <w:pPr>
      <w:ind w:left="720"/>
      <w:contextualSpacing/>
    </w:pPr>
    <w:rPr>
      <w:color w:val="auto"/>
    </w:rPr>
  </w:style>
  <w:style w:type="paragraph" w:styleId="NoSpacing">
    <w:name w:val="No Spacing"/>
    <w:uiPriority w:val="1"/>
    <w:qFormat/>
    <w:rsid w:val="00C11E8B"/>
    <w:rPr>
      <w:rFonts w:ascii="Times New Roman" w:hAnsi="Times New Roman"/>
      <w:color w:val="000000"/>
      <w:sz w:val="24"/>
      <w:szCs w:val="22"/>
      <w:lang w:val="en-GB"/>
    </w:rPr>
  </w:style>
  <w:style w:type="character" w:styleId="SubtleEmphasis">
    <w:name w:val="Subtle Emphasis"/>
    <w:uiPriority w:val="19"/>
    <w:rsid w:val="00C11E8B"/>
    <w:rPr>
      <w:i/>
      <w:iCs/>
      <w:color w:val="404040"/>
    </w:rPr>
  </w:style>
  <w:style w:type="paragraph" w:styleId="Quote">
    <w:name w:val="Quote"/>
    <w:basedOn w:val="Normal"/>
    <w:next w:val="Normal"/>
    <w:link w:val="QuoteChar"/>
    <w:uiPriority w:val="29"/>
    <w:rsid w:val="00C11E8B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11E8B"/>
    <w:rPr>
      <w:i/>
      <w:iCs/>
      <w:color w:val="404040"/>
      <w:sz w:val="22"/>
      <w:szCs w:val="22"/>
      <w:lang w:eastAsia="en-US"/>
    </w:rPr>
  </w:style>
  <w:style w:type="character" w:styleId="IntenseEmphasis">
    <w:name w:val="Intense Emphasis"/>
    <w:uiPriority w:val="21"/>
    <w:rsid w:val="00C11E8B"/>
    <w:rPr>
      <w:i/>
      <w:iCs/>
      <w:color w:val="5B9BD5"/>
    </w:rPr>
  </w:style>
  <w:style w:type="character" w:styleId="FootnoteReference">
    <w:name w:val="footnote reference"/>
    <w:uiPriority w:val="99"/>
    <w:semiHidden/>
    <w:unhideWhenUsed/>
    <w:rsid w:val="00BA534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FC70D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hart" Target="charts/chart5.xml"/><Relationship Id="rId25" Type="http://schemas.openxmlformats.org/officeDocument/2006/relationships/hyperlink" Target="mailto:marta@access-info.org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mailto:marta@access-info.org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fontTable" Target="fontTable.xml"/><Relationship Id="rId10" Type="http://schemas.openxmlformats.org/officeDocument/2006/relationships/hyperlink" Target="http://femp.femp.es/Microsites/Front/PaginasLayout2/Layout2_Personalizables/MS_Maestra_2/_k6sjJ7QfK2Z5a0ypjGDF7hVCHy14AjBJbrBw0bPsMCI91AF5Q35sy0SLzLOH4R4Q" TargetMode="Externa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hyperlink" Target="http://www.femp.es/" TargetMode="External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.surveyplanet.com/GoJuyKeXs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1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Relevancia de los ámbitos de lucha contra la corrupción en entidades locales</a:t>
            </a:r>
            <a:endParaRPr lang="en-US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Relevancia</c:v>
                </c:pt>
              </c:strCache>
            </c:strRef>
          </c:tx>
          <c:spPr>
            <a:solidFill>
              <a:srgbClr val="F09C0D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666CB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BE8-471A-B8CA-7781E78B0E90}"/>
              </c:ext>
            </c:extLst>
          </c:dPt>
          <c:dPt>
            <c:idx val="1"/>
            <c:invertIfNegative val="0"/>
            <c:bubble3D val="0"/>
            <c:spPr>
              <a:solidFill>
                <a:srgbClr val="DD4D4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BE8-471A-B8CA-7781E78B0E90}"/>
              </c:ext>
            </c:extLst>
          </c:dPt>
          <c:dPt>
            <c:idx val="2"/>
            <c:invertIfNegative val="0"/>
            <c:bubble3D val="0"/>
            <c:spPr>
              <a:solidFill>
                <a:srgbClr val="81BF3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BE8-471A-B8CA-7781E78B0E90}"/>
              </c:ext>
            </c:extLst>
          </c:dPt>
          <c:dPt>
            <c:idx val="3"/>
            <c:invertIfNegative val="0"/>
            <c:bubble3D val="0"/>
            <c:spPr>
              <a:solidFill>
                <a:srgbClr val="FBDD7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2BE8-471A-B8CA-7781E78B0E90}"/>
              </c:ext>
            </c:extLst>
          </c:dPt>
          <c:dPt>
            <c:idx val="4"/>
            <c:invertIfNegative val="0"/>
            <c:bubble3D val="0"/>
            <c:spPr>
              <a:solidFill>
                <a:srgbClr val="55BDE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2BE8-471A-B8CA-7781E78B0E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Protección de Alertadores</c:v>
                </c:pt>
                <c:pt idx="1">
                  <c:v>Análisis de Riesgos</c:v>
                </c:pt>
                <c:pt idx="2">
                  <c:v>Gobierno Abierto</c:v>
                </c:pt>
                <c:pt idx="3">
                  <c:v>Rendición de Cuentas de Cargos Electos</c:v>
                </c:pt>
                <c:pt idx="4">
                  <c:v>Acceso a la Información Pública</c:v>
                </c:pt>
                <c:pt idx="5">
                  <c:v>Transparencia en Contratación Pública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68.599999999999994</c:v>
                </c:pt>
                <c:pt idx="1">
                  <c:v>75</c:v>
                </c:pt>
                <c:pt idx="2">
                  <c:v>87</c:v>
                </c:pt>
                <c:pt idx="3">
                  <c:v>88.4</c:v>
                </c:pt>
                <c:pt idx="4">
                  <c:v>92</c:v>
                </c:pt>
                <c:pt idx="5">
                  <c:v>95.4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BE8-471A-B8CA-7781E78B0E9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Sheet1!$A$2:$A$7</c:f>
              <c:strCache>
                <c:ptCount val="6"/>
                <c:pt idx="0">
                  <c:v>Protección de Alertadores</c:v>
                </c:pt>
                <c:pt idx="1">
                  <c:v>Análisis de Riesgos</c:v>
                </c:pt>
                <c:pt idx="2">
                  <c:v>Gobierno Abierto</c:v>
                </c:pt>
                <c:pt idx="3">
                  <c:v>Rendición de Cuentas de Cargos Electos</c:v>
                </c:pt>
                <c:pt idx="4">
                  <c:v>Acceso a la Información Pública</c:v>
                </c:pt>
                <c:pt idx="5">
                  <c:v>Transparencia en Contratación Pública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31.4</c:v>
                </c:pt>
                <c:pt idx="1">
                  <c:v>25</c:v>
                </c:pt>
                <c:pt idx="2">
                  <c:v>13</c:v>
                </c:pt>
                <c:pt idx="3">
                  <c:v>11.6</c:v>
                </c:pt>
                <c:pt idx="4">
                  <c:v>8</c:v>
                </c:pt>
                <c:pt idx="5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BE8-471A-B8CA-7781E78B0E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100"/>
        <c:axId val="488483968"/>
        <c:axId val="488486264"/>
      </c:barChart>
      <c:catAx>
        <c:axId val="488483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8486264"/>
        <c:crosses val="autoZero"/>
        <c:auto val="1"/>
        <c:lblAlgn val="ctr"/>
        <c:lblOffset val="100"/>
        <c:noMultiLvlLbl val="0"/>
      </c:catAx>
      <c:valAx>
        <c:axId val="488486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8483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1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Ranking herramientas</a:t>
            </a:r>
            <a:endParaRPr lang="en-US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BDD7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632-4130-B65E-235D30F1E829}"/>
              </c:ext>
            </c:extLst>
          </c:dPt>
          <c:dPt>
            <c:idx val="1"/>
            <c:invertIfNegative val="0"/>
            <c:bubble3D val="0"/>
            <c:spPr>
              <a:solidFill>
                <a:srgbClr val="55BDE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632-4130-B65E-235D30F1E829}"/>
              </c:ext>
            </c:extLst>
          </c:dPt>
          <c:dPt>
            <c:idx val="2"/>
            <c:invertIfNegative val="0"/>
            <c:bubble3D val="0"/>
            <c:spPr>
              <a:solidFill>
                <a:srgbClr val="DD4D4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632-4130-B65E-235D30F1E829}"/>
              </c:ext>
            </c:extLst>
          </c:dPt>
          <c:dPt>
            <c:idx val="3"/>
            <c:invertIfNegative val="0"/>
            <c:bubble3D val="0"/>
            <c:spPr>
              <a:solidFill>
                <a:srgbClr val="666CB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9632-4130-B65E-235D30F1E829}"/>
              </c:ext>
            </c:extLst>
          </c:dPt>
          <c:dPt>
            <c:idx val="4"/>
            <c:invertIfNegative val="0"/>
            <c:bubble3D val="0"/>
            <c:spPr>
              <a:solidFill>
                <a:srgbClr val="F09C0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9632-4130-B65E-235D30F1E82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Rendición de Cuentas de Cargos Electos</c:v>
                </c:pt>
                <c:pt idx="1">
                  <c:v>Acceso a la Información Pública</c:v>
                </c:pt>
                <c:pt idx="2">
                  <c:v>Análisis de Riesgos</c:v>
                </c:pt>
                <c:pt idx="3">
                  <c:v>Protección de Alertadores</c:v>
                </c:pt>
                <c:pt idx="4">
                  <c:v>Transparencia en Contratación Pública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68.400000000000006</c:v>
                </c:pt>
                <c:pt idx="1">
                  <c:v>72.599999999999994</c:v>
                </c:pt>
                <c:pt idx="2">
                  <c:v>74.400000000000006</c:v>
                </c:pt>
                <c:pt idx="3">
                  <c:v>75</c:v>
                </c:pt>
                <c:pt idx="4">
                  <c:v>84.2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632-4130-B65E-235D30F1E82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Rendición de Cuentas de Cargos Electos</c:v>
                </c:pt>
                <c:pt idx="1">
                  <c:v>Acceso a la Información Pública</c:v>
                </c:pt>
                <c:pt idx="2">
                  <c:v>Análisis de Riesgos</c:v>
                </c:pt>
                <c:pt idx="3">
                  <c:v>Protección de Alertadores</c:v>
                </c:pt>
                <c:pt idx="4">
                  <c:v>Transparencia en Contratación Pública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31.6</c:v>
                </c:pt>
                <c:pt idx="1">
                  <c:v>27.4</c:v>
                </c:pt>
                <c:pt idx="2">
                  <c:v>25.6</c:v>
                </c:pt>
                <c:pt idx="3">
                  <c:v>25</c:v>
                </c:pt>
                <c:pt idx="4">
                  <c:v>15.8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632-4130-B65E-235D30F1E82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70057952"/>
        <c:axId val="770052376"/>
      </c:barChart>
      <c:catAx>
        <c:axId val="770057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0052376"/>
        <c:crosses val="autoZero"/>
        <c:auto val="1"/>
        <c:lblAlgn val="ctr"/>
        <c:lblOffset val="100"/>
        <c:noMultiLvlLbl val="0"/>
      </c:catAx>
      <c:valAx>
        <c:axId val="7700523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0057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1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Ranking Guías</a:t>
            </a:r>
            <a:endParaRPr lang="en-US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DD4D4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933-4F20-A028-474AA4290996}"/>
              </c:ext>
            </c:extLst>
          </c:dPt>
          <c:dPt>
            <c:idx val="1"/>
            <c:invertIfNegative val="0"/>
            <c:bubble3D val="0"/>
            <c:spPr>
              <a:solidFill>
                <a:srgbClr val="666CB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933-4F20-A028-474AA4290996}"/>
              </c:ext>
            </c:extLst>
          </c:dPt>
          <c:dPt>
            <c:idx val="2"/>
            <c:invertIfNegative val="0"/>
            <c:bubble3D val="0"/>
            <c:spPr>
              <a:solidFill>
                <a:srgbClr val="55BDE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933-4F20-A028-474AA4290996}"/>
              </c:ext>
            </c:extLst>
          </c:dPt>
          <c:dPt>
            <c:idx val="3"/>
            <c:invertIfNegative val="0"/>
            <c:bubble3D val="0"/>
            <c:spPr>
              <a:solidFill>
                <a:srgbClr val="FBDD7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2933-4F20-A028-474AA4290996}"/>
              </c:ext>
            </c:extLst>
          </c:dPt>
          <c:dPt>
            <c:idx val="4"/>
            <c:invertIfNegative val="0"/>
            <c:bubble3D val="0"/>
            <c:spPr>
              <a:solidFill>
                <a:srgbClr val="81BF3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2933-4F20-A028-474AA4290996}"/>
              </c:ext>
            </c:extLst>
          </c:dPt>
          <c:dPt>
            <c:idx val="5"/>
            <c:invertIfNegative val="0"/>
            <c:bubble3D val="0"/>
            <c:spPr>
              <a:solidFill>
                <a:srgbClr val="F09C0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2933-4F20-A028-474AA42909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Análisis de Riesgos</c:v>
                </c:pt>
                <c:pt idx="1">
                  <c:v>Protección de Alertadores</c:v>
                </c:pt>
                <c:pt idx="2">
                  <c:v>Acceso a la Información Pública</c:v>
                </c:pt>
                <c:pt idx="3">
                  <c:v>Rendición de Cuentas de Cargos Electos</c:v>
                </c:pt>
                <c:pt idx="4">
                  <c:v>Gobierno Abierto</c:v>
                </c:pt>
                <c:pt idx="5">
                  <c:v>Transparencia en Contratación Pública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69.400000000000006</c:v>
                </c:pt>
                <c:pt idx="1">
                  <c:v>70.2</c:v>
                </c:pt>
                <c:pt idx="2">
                  <c:v>71.599999999999994</c:v>
                </c:pt>
                <c:pt idx="3">
                  <c:v>71.8</c:v>
                </c:pt>
                <c:pt idx="4">
                  <c:v>75</c:v>
                </c:pt>
                <c:pt idx="5">
                  <c:v>77.8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933-4F20-A028-474AA429099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Análisis de Riesgos</c:v>
                </c:pt>
                <c:pt idx="1">
                  <c:v>Protección de Alertadores</c:v>
                </c:pt>
                <c:pt idx="2">
                  <c:v>Acceso a la Información Pública</c:v>
                </c:pt>
                <c:pt idx="3">
                  <c:v>Rendición de Cuentas de Cargos Electos</c:v>
                </c:pt>
                <c:pt idx="4">
                  <c:v>Gobierno Abierto</c:v>
                </c:pt>
                <c:pt idx="5">
                  <c:v>Transparencia en Contratación Pública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30.6</c:v>
                </c:pt>
                <c:pt idx="1">
                  <c:v>29.8</c:v>
                </c:pt>
                <c:pt idx="2">
                  <c:v>28.4</c:v>
                </c:pt>
                <c:pt idx="3">
                  <c:v>28.2</c:v>
                </c:pt>
                <c:pt idx="4">
                  <c:v>25</c:v>
                </c:pt>
                <c:pt idx="5">
                  <c:v>22.2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933-4F20-A028-474AA42909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27838952"/>
        <c:axId val="627828784"/>
      </c:barChart>
      <c:catAx>
        <c:axId val="627838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7828784"/>
        <c:crosses val="autoZero"/>
        <c:auto val="1"/>
        <c:lblAlgn val="ctr"/>
        <c:lblOffset val="100"/>
        <c:noMultiLvlLbl val="0"/>
      </c:catAx>
      <c:valAx>
        <c:axId val="627828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7838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1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Ámbitos en los que las Entidades Locales consideran que podrían mejorar o fortalecer su actuación</a:t>
            </a:r>
            <a:endParaRPr lang="en-US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666CB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09C0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D43-47F7-9A50-F1AE93950E9B}"/>
              </c:ext>
            </c:extLst>
          </c:dPt>
          <c:dPt>
            <c:idx val="1"/>
            <c:invertIfNegative val="0"/>
            <c:bubble3D val="0"/>
            <c:spPr>
              <a:solidFill>
                <a:srgbClr val="FBDD7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D43-47F7-9A50-F1AE93950E9B}"/>
              </c:ext>
            </c:extLst>
          </c:dPt>
          <c:dPt>
            <c:idx val="2"/>
            <c:invertIfNegative val="0"/>
            <c:bubble3D val="0"/>
            <c:spPr>
              <a:solidFill>
                <a:srgbClr val="55BDE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D43-47F7-9A50-F1AE93950E9B}"/>
              </c:ext>
            </c:extLst>
          </c:dPt>
          <c:dPt>
            <c:idx val="3"/>
            <c:invertIfNegative val="0"/>
            <c:bubble3D val="0"/>
            <c:spPr>
              <a:solidFill>
                <a:srgbClr val="81BF3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D43-47F7-9A50-F1AE93950E9B}"/>
              </c:ext>
            </c:extLst>
          </c:dPt>
          <c:dPt>
            <c:idx val="4"/>
            <c:invertIfNegative val="0"/>
            <c:bubble3D val="0"/>
            <c:spPr>
              <a:solidFill>
                <a:srgbClr val="DD4D4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8D43-47F7-9A50-F1AE93950E9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Transparencia en Contratación Pública</c:v>
                </c:pt>
                <c:pt idx="1">
                  <c:v>Rendición de Cuentas de Cargos Electos</c:v>
                </c:pt>
                <c:pt idx="2">
                  <c:v>Acceso a la Información Pública</c:v>
                </c:pt>
                <c:pt idx="3">
                  <c:v>Gobierno Abierto</c:v>
                </c:pt>
                <c:pt idx="4">
                  <c:v>Análisis de Riesgos</c:v>
                </c:pt>
                <c:pt idx="5">
                  <c:v>Protección de Alertadores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62.8</c:v>
                </c:pt>
                <c:pt idx="1">
                  <c:v>64.8</c:v>
                </c:pt>
                <c:pt idx="2">
                  <c:v>65</c:v>
                </c:pt>
                <c:pt idx="3">
                  <c:v>69.599999999999994</c:v>
                </c:pt>
                <c:pt idx="4">
                  <c:v>74.2</c:v>
                </c:pt>
                <c:pt idx="5">
                  <c:v>75.2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D43-47F7-9A50-F1AE93950E9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Sheet1!$A$2:$A$7</c:f>
              <c:strCache>
                <c:ptCount val="6"/>
                <c:pt idx="0">
                  <c:v>Transparencia en Contratación Pública</c:v>
                </c:pt>
                <c:pt idx="1">
                  <c:v>Rendición de Cuentas de Cargos Electos</c:v>
                </c:pt>
                <c:pt idx="2">
                  <c:v>Acceso a la Información Pública</c:v>
                </c:pt>
                <c:pt idx="3">
                  <c:v>Gobierno Abierto</c:v>
                </c:pt>
                <c:pt idx="4">
                  <c:v>Análisis de Riesgos</c:v>
                </c:pt>
                <c:pt idx="5">
                  <c:v>Protección de Alertadores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37.200000000000003</c:v>
                </c:pt>
                <c:pt idx="1">
                  <c:v>35.200000000000003</c:v>
                </c:pt>
                <c:pt idx="2">
                  <c:v>35</c:v>
                </c:pt>
                <c:pt idx="3">
                  <c:v>30.4</c:v>
                </c:pt>
                <c:pt idx="4">
                  <c:v>25.8</c:v>
                </c:pt>
                <c:pt idx="5">
                  <c:v>24.8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D43-47F7-9A50-F1AE93950E9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100"/>
        <c:axId val="647777248"/>
        <c:axId val="647777904"/>
      </c:barChart>
      <c:catAx>
        <c:axId val="647777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7777904"/>
        <c:crosses val="autoZero"/>
        <c:auto val="1"/>
        <c:lblAlgn val="ctr"/>
        <c:lblOffset val="100"/>
        <c:noMultiLvlLbl val="0"/>
      </c:catAx>
      <c:valAx>
        <c:axId val="647777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7777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100" b="1" i="0" u="none" strike="noStrike" baseline="0">
                <a:effectLst/>
                <a:latin typeface="Times New Roman" panose="02020603050405020304" pitchFamily="18" charset="0"/>
                <a:ea typeface="Verdana" panose="020B0604030504040204" pitchFamily="34" charset="0"/>
                <a:cs typeface="Times New Roman" panose="02020603050405020304" pitchFamily="18" charset="0"/>
              </a:rPr>
              <a:t>Recursos para el Acceso a la Información Pública</a:t>
            </a:r>
            <a:endParaRPr lang="en-US" sz="1100" b="1">
              <a:latin typeface="Times New Roman" panose="02020603050405020304" pitchFamily="18" charset="0"/>
              <a:ea typeface="Verdana" panose="020B0604030504040204" pitchFamily="34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55BDE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Formación de funcionarios</c:v>
                </c:pt>
                <c:pt idx="1">
                  <c:v>Sistema de auto evaluación de la normativa de Acceso a la Información y de su implementación</c:v>
                </c:pt>
                <c:pt idx="2">
                  <c:v>Guía sobre la legislación del acceso a la información y su implementación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87.4</c:v>
                </c:pt>
                <c:pt idx="1">
                  <c:v>72.599999999999994</c:v>
                </c:pt>
                <c:pt idx="2">
                  <c:v>71.599999999999994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0B-4F97-893A-53A188F8162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3032960"/>
        <c:axId val="473035256"/>
      </c:barChart>
      <c:catAx>
        <c:axId val="47303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035256"/>
        <c:crosses val="autoZero"/>
        <c:auto val="1"/>
        <c:lblAlgn val="ctr"/>
        <c:lblOffset val="100"/>
        <c:noMultiLvlLbl val="0"/>
      </c:catAx>
      <c:valAx>
        <c:axId val="473035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032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100" b="1" i="0" u="none" strike="noStrike" baseline="0">
                <a:effectLst/>
                <a:latin typeface="Times New Roman" panose="02020603050405020304" pitchFamily="18" charset="0"/>
                <a:ea typeface="Verdana" panose="020B0604030504040204" pitchFamily="34" charset="0"/>
                <a:cs typeface="Times New Roman" panose="02020603050405020304" pitchFamily="18" charset="0"/>
              </a:rPr>
              <a:t>Recursos para la Protección de Alertadores (</a:t>
            </a:r>
            <a:r>
              <a:rPr lang="es-ES" sz="1100" b="1" i="1" u="none" strike="noStrike" baseline="0">
                <a:effectLst/>
                <a:latin typeface="Times New Roman" panose="02020603050405020304" pitchFamily="18" charset="0"/>
                <a:ea typeface="Verdana" panose="020B0604030504040204" pitchFamily="34" charset="0"/>
                <a:cs typeface="Times New Roman" panose="02020603050405020304" pitchFamily="18" charset="0"/>
              </a:rPr>
              <a:t>Whistleblowers</a:t>
            </a:r>
            <a:r>
              <a:rPr lang="es-ES" sz="1100" b="1" i="0" u="none" strike="noStrike" baseline="0">
                <a:effectLst/>
                <a:latin typeface="Times New Roman" panose="02020603050405020304" pitchFamily="18" charset="0"/>
                <a:ea typeface="Verdana" panose="020B0604030504040204" pitchFamily="34" charset="0"/>
                <a:cs typeface="Times New Roman" panose="02020603050405020304" pitchFamily="18" charset="0"/>
              </a:rPr>
              <a:t>)</a:t>
            </a:r>
            <a:endParaRPr lang="en-US" sz="1100">
              <a:latin typeface="Times New Roman" panose="02020603050405020304" pitchFamily="18" charset="0"/>
              <a:ea typeface="Verdana" panose="020B0604030504040204" pitchFamily="34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666CB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Formación de funcionarios</c:v>
                </c:pt>
                <c:pt idx="1">
                  <c:v>Plataforma online de denuncias</c:v>
                </c:pt>
                <c:pt idx="2">
                  <c:v>Guía sobre una correcta protección de alertadores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87.2</c:v>
                </c:pt>
                <c:pt idx="1">
                  <c:v>75</c:v>
                </c:pt>
                <c:pt idx="2">
                  <c:v>70.2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E-4DD6-9E10-90888B1284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0284352"/>
        <c:axId val="480285336"/>
      </c:barChart>
      <c:catAx>
        <c:axId val="480284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0285336"/>
        <c:crosses val="autoZero"/>
        <c:auto val="1"/>
        <c:lblAlgn val="ctr"/>
        <c:lblOffset val="100"/>
        <c:noMultiLvlLbl val="0"/>
      </c:catAx>
      <c:valAx>
        <c:axId val="480285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0284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100" b="1" i="0" u="none" strike="noStrike" baseline="0">
                <a:effectLst/>
                <a:latin typeface="Times New Roman" panose="02020603050405020304" pitchFamily="18" charset="0"/>
                <a:ea typeface="Verdana" panose="020B0604030504040204" pitchFamily="34" charset="0"/>
                <a:cs typeface="Times New Roman" panose="02020603050405020304" pitchFamily="18" charset="0"/>
              </a:rPr>
              <a:t>Recursos para el Gobierno Abierto</a:t>
            </a:r>
            <a:endParaRPr lang="en-US" sz="1100">
              <a:latin typeface="Times New Roman" panose="02020603050405020304" pitchFamily="18" charset="0"/>
              <a:ea typeface="Verdana" panose="020B0604030504040204" pitchFamily="34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81BF3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Formación de funcionarios</c:v>
                </c:pt>
                <c:pt idx="1">
                  <c:v>Guía sobre el Gobierno Abierto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88</c:v>
                </c:pt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E7-4C9B-9D5C-DB9136A199F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3719488"/>
        <c:axId val="477780784"/>
      </c:barChart>
      <c:catAx>
        <c:axId val="20371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7780784"/>
        <c:crosses val="autoZero"/>
        <c:auto val="1"/>
        <c:lblAlgn val="ctr"/>
        <c:lblOffset val="100"/>
        <c:noMultiLvlLbl val="0"/>
      </c:catAx>
      <c:valAx>
        <c:axId val="477780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3719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100" b="1" i="0" u="none" strike="noStrike" baseline="0">
                <a:effectLst/>
                <a:latin typeface="Times New Roman" panose="02020603050405020304" pitchFamily="18" charset="0"/>
                <a:ea typeface="Verdana" panose="020B0604030504040204" pitchFamily="34" charset="0"/>
                <a:cs typeface="Times New Roman" panose="02020603050405020304" pitchFamily="18" charset="0"/>
              </a:rPr>
              <a:t>Recursos para la Transparencia en la Contratación Pública</a:t>
            </a:r>
            <a:endParaRPr lang="en-US" sz="1100">
              <a:latin typeface="Times New Roman" panose="02020603050405020304" pitchFamily="18" charset="0"/>
              <a:ea typeface="Verdana" panose="020B0604030504040204" pitchFamily="34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F09C0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Formación de funcionarios</c:v>
                </c:pt>
                <c:pt idx="1">
                  <c:v>Sistema de publicación online de los procesos de contratación pública en formato de datos abiertos (Open Contracting Data Standard)</c:v>
                </c:pt>
                <c:pt idx="2">
                  <c:v>Guía sobre la Transparencia en la Contratación Pública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86.4</c:v>
                </c:pt>
                <c:pt idx="1">
                  <c:v>84.2</c:v>
                </c:pt>
                <c:pt idx="2">
                  <c:v>77.8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60-49E6-BA07-9123A05E3F2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3715552"/>
        <c:axId val="203716864"/>
      </c:barChart>
      <c:catAx>
        <c:axId val="203715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3716864"/>
        <c:crosses val="autoZero"/>
        <c:auto val="1"/>
        <c:lblAlgn val="ctr"/>
        <c:lblOffset val="100"/>
        <c:noMultiLvlLbl val="0"/>
      </c:catAx>
      <c:valAx>
        <c:axId val="203716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3715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100" b="1" i="0" u="none" strike="noStrike" baseline="0">
                <a:effectLst/>
                <a:latin typeface="Times New Roman" panose="02020603050405020304" pitchFamily="18" charset="0"/>
                <a:ea typeface="Verdana" panose="020B0604030504040204" pitchFamily="34" charset="0"/>
                <a:cs typeface="Times New Roman" panose="02020603050405020304" pitchFamily="18" charset="0"/>
              </a:rPr>
              <a:t>Recursos para la Rendición de Cuentas de los Cargos Electos</a:t>
            </a:r>
            <a:endParaRPr lang="en-US" sz="1100">
              <a:latin typeface="Times New Roman" panose="02020603050405020304" pitchFamily="18" charset="0"/>
              <a:ea typeface="Verdana" panose="020B0604030504040204" pitchFamily="34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FBDD7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Formación de funcionarios</c:v>
                </c:pt>
                <c:pt idx="1">
                  <c:v>Guía sobre la Rendición de Cuentas de los Cargos Electos</c:v>
                </c:pt>
                <c:pt idx="2">
                  <c:v>Sistema de publicación online de información sobre los representantes electos (información general, agendas, salarios, etc)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77</c:v>
                </c:pt>
                <c:pt idx="1">
                  <c:v>71.8</c:v>
                </c:pt>
                <c:pt idx="2">
                  <c:v>68.400000000000006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70-4CB9-8D1B-D5A4134B66D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3691936"/>
        <c:axId val="203701448"/>
      </c:barChart>
      <c:catAx>
        <c:axId val="203691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3701448"/>
        <c:crosses val="autoZero"/>
        <c:auto val="1"/>
        <c:lblAlgn val="ctr"/>
        <c:lblOffset val="100"/>
        <c:noMultiLvlLbl val="0"/>
      </c:catAx>
      <c:valAx>
        <c:axId val="203701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3691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100" b="1" i="0" u="none" strike="noStrike" baseline="0">
                <a:effectLst/>
                <a:latin typeface="Times New Roman" panose="02020603050405020304" pitchFamily="18" charset="0"/>
                <a:ea typeface="Verdana" panose="020B0604030504040204" pitchFamily="34" charset="0"/>
                <a:cs typeface="Times New Roman" panose="02020603050405020304" pitchFamily="18" charset="0"/>
              </a:rPr>
              <a:t>Análisis de Riesgos</a:t>
            </a:r>
            <a:endParaRPr lang="en-US" sz="1100">
              <a:latin typeface="Times New Roman" panose="02020603050405020304" pitchFamily="18" charset="0"/>
              <a:ea typeface="Verdana" panose="020B0604030504040204" pitchFamily="34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DD4D4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Formación de funcionarios</c:v>
                </c:pt>
                <c:pt idx="1">
                  <c:v>Herramienta de auto evaluación del sistema interno de Análisis de Riesgos</c:v>
                </c:pt>
                <c:pt idx="2">
                  <c:v>Guía sobre los sistemas internos de Análisis de Riesgos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82.4</c:v>
                </c:pt>
                <c:pt idx="1">
                  <c:v>74.400000000000006</c:v>
                </c:pt>
                <c:pt idx="2">
                  <c:v>69.400000000000006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98-4745-967D-B35FD151425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9590192"/>
        <c:axId val="329591176"/>
      </c:barChart>
      <c:catAx>
        <c:axId val="32959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9591176"/>
        <c:crosses val="autoZero"/>
        <c:auto val="1"/>
        <c:lblAlgn val="ctr"/>
        <c:lblOffset val="100"/>
        <c:noMultiLvlLbl val="0"/>
      </c:catAx>
      <c:valAx>
        <c:axId val="329591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9590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1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Ranking formación</a:t>
            </a:r>
            <a:endParaRPr lang="en-US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BDD7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795-4CCF-B81B-D8B21CF2D407}"/>
              </c:ext>
            </c:extLst>
          </c:dPt>
          <c:dPt>
            <c:idx val="1"/>
            <c:invertIfNegative val="0"/>
            <c:bubble3D val="0"/>
            <c:spPr>
              <a:solidFill>
                <a:srgbClr val="DD4D4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795-4CCF-B81B-D8B21CF2D407}"/>
              </c:ext>
            </c:extLst>
          </c:dPt>
          <c:dPt>
            <c:idx val="2"/>
            <c:invertIfNegative val="0"/>
            <c:bubble3D val="0"/>
            <c:spPr>
              <a:solidFill>
                <a:srgbClr val="F09C0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795-4CCF-B81B-D8B21CF2D407}"/>
              </c:ext>
            </c:extLst>
          </c:dPt>
          <c:dPt>
            <c:idx val="3"/>
            <c:invertIfNegative val="0"/>
            <c:bubble3D val="0"/>
            <c:spPr>
              <a:solidFill>
                <a:srgbClr val="666CB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795-4CCF-B81B-D8B21CF2D407}"/>
              </c:ext>
            </c:extLst>
          </c:dPt>
          <c:dPt>
            <c:idx val="4"/>
            <c:invertIfNegative val="0"/>
            <c:bubble3D val="0"/>
            <c:spPr>
              <a:solidFill>
                <a:srgbClr val="55BDE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8795-4CCF-B81B-D8B21CF2D407}"/>
              </c:ext>
            </c:extLst>
          </c:dPt>
          <c:dPt>
            <c:idx val="5"/>
            <c:invertIfNegative val="0"/>
            <c:bubble3D val="0"/>
            <c:spPr>
              <a:solidFill>
                <a:srgbClr val="81BF3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8795-4CCF-B81B-D8B21CF2D40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Rendición de Cuentas de Cargos Electos</c:v>
                </c:pt>
                <c:pt idx="1">
                  <c:v>Análisis de Riesgos</c:v>
                </c:pt>
                <c:pt idx="2">
                  <c:v>Transparencia en Contratación Pública</c:v>
                </c:pt>
                <c:pt idx="3">
                  <c:v>Protección de Alertadores</c:v>
                </c:pt>
                <c:pt idx="4">
                  <c:v>Acceso a la Información Pública</c:v>
                </c:pt>
                <c:pt idx="5">
                  <c:v>Gobierno Abierto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77</c:v>
                </c:pt>
                <c:pt idx="1">
                  <c:v>82.4</c:v>
                </c:pt>
                <c:pt idx="2">
                  <c:v>86.4</c:v>
                </c:pt>
                <c:pt idx="3">
                  <c:v>87.2</c:v>
                </c:pt>
                <c:pt idx="4">
                  <c:v>87.4</c:v>
                </c:pt>
                <c:pt idx="5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795-4CCF-B81B-D8B21CF2D40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Rendición de Cuentas de Cargos Electos</c:v>
                </c:pt>
                <c:pt idx="1">
                  <c:v>Análisis de Riesgos</c:v>
                </c:pt>
                <c:pt idx="2">
                  <c:v>Transparencia en Contratación Pública</c:v>
                </c:pt>
                <c:pt idx="3">
                  <c:v>Protección de Alertadores</c:v>
                </c:pt>
                <c:pt idx="4">
                  <c:v>Acceso a la Información Pública</c:v>
                </c:pt>
                <c:pt idx="5">
                  <c:v>Gobierno Abierto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23</c:v>
                </c:pt>
                <c:pt idx="1">
                  <c:v>17.600000000000001</c:v>
                </c:pt>
                <c:pt idx="2">
                  <c:v>13.6</c:v>
                </c:pt>
                <c:pt idx="3">
                  <c:v>12.8</c:v>
                </c:pt>
                <c:pt idx="4">
                  <c:v>12.6</c:v>
                </c:pt>
                <c:pt idx="5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795-4CCF-B81B-D8B21CF2D4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27838952"/>
        <c:axId val="627828784"/>
      </c:barChart>
      <c:catAx>
        <c:axId val="627838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7828784"/>
        <c:crosses val="autoZero"/>
        <c:auto val="1"/>
        <c:lblAlgn val="ctr"/>
        <c:lblOffset val="100"/>
        <c:noMultiLvlLbl val="0"/>
      </c:catAx>
      <c:valAx>
        <c:axId val="627828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7838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07E511-5D9E-47FC-9D47-949FB903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1068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7142</CharactersWithSpaces>
  <SharedDoc>false</SharedDoc>
  <HLinks>
    <vt:vector size="6" baseType="variant"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https://s.surveyplanet.com/GoJuyKeXs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cp:lastModifiedBy>Marta Morcuende</cp:lastModifiedBy>
  <cp:revision>15</cp:revision>
  <cp:lastPrinted>2010-06-17T11:26:00Z</cp:lastPrinted>
  <dcterms:created xsi:type="dcterms:W3CDTF">2021-03-12T11:44:00Z</dcterms:created>
  <dcterms:modified xsi:type="dcterms:W3CDTF">2021-03-15T11:39:00Z</dcterms:modified>
</cp:coreProperties>
</file>